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>附件1</w:t>
      </w:r>
    </w:p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“随时随地学外语·讲外语·用外语”活动</w:t>
      </w:r>
    </w:p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评比表彰方案</w:t>
      </w:r>
    </w:p>
    <w:p>
      <w:pPr>
        <w:spacing w:line="360" w:lineRule="auto"/>
        <w:ind w:firstLine="525"/>
        <w:rPr>
          <w:rFonts w:ascii="宋体" w:hAnsi="宋体"/>
          <w:color w:val="auto"/>
          <w:sz w:val="24"/>
          <w:shd w:val="clear" w:color="auto" w:fill="FFFFFF"/>
        </w:rPr>
      </w:pPr>
      <w:r>
        <w:rPr>
          <w:rFonts w:hint="eastAsia"/>
          <w:color w:val="auto"/>
          <w:sz w:val="24"/>
          <w:szCs w:val="28"/>
        </w:rPr>
        <w:t>为营造浓郁的外语学习氛围，推动我校“随时随地学外语·讲外语·用外语”活动常态化，</w:t>
      </w:r>
      <w:r>
        <w:rPr>
          <w:rFonts w:hint="eastAsia" w:ascii="宋体" w:hAnsi="宋体"/>
          <w:color w:val="auto"/>
          <w:sz w:val="24"/>
          <w:shd w:val="clear" w:color="auto" w:fill="FFFFFF"/>
        </w:rPr>
        <w:t>突出其重要意义，</w:t>
      </w:r>
      <w:r>
        <w:rPr>
          <w:rFonts w:hint="eastAsia"/>
          <w:color w:val="auto"/>
          <w:sz w:val="24"/>
          <w:szCs w:val="28"/>
        </w:rPr>
        <w:t>激发各单位和全体教师的积极性、主动性和创造性，</w:t>
      </w:r>
      <w:r>
        <w:rPr>
          <w:rFonts w:hint="eastAsia" w:ascii="宋体" w:hAnsi="宋体"/>
          <w:color w:val="auto"/>
          <w:sz w:val="24"/>
          <w:shd w:val="clear" w:color="auto" w:fill="FFFFFF"/>
        </w:rPr>
        <w:t>学校每年各单位开展此项活动的情况，对表现突出，成绩优异的单位和个人予以表彰。评比表彰设优秀组织奖和先进个人奖，由学校通令嘉奖并发给奖金。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left"/>
        <w:rPr>
          <w:rFonts w:ascii="宋体" w:hAnsi="宋体"/>
          <w:b/>
          <w:color w:val="auto"/>
          <w:sz w:val="24"/>
          <w:shd w:val="clear" w:color="auto" w:fill="FFFFFF"/>
        </w:rPr>
      </w:pPr>
      <w:r>
        <w:rPr>
          <w:rFonts w:hint="eastAsia" w:ascii="宋体" w:hAnsi="宋体"/>
          <w:b/>
          <w:color w:val="auto"/>
          <w:sz w:val="24"/>
          <w:shd w:val="clear" w:color="auto" w:fill="FFFFFF"/>
        </w:rPr>
        <w:t>优秀组织奖：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left"/>
        <w:rPr>
          <w:rFonts w:ascii="宋体" w:hAnsi="宋体"/>
          <w:color w:val="auto"/>
          <w:sz w:val="24"/>
          <w:shd w:val="clear" w:color="auto" w:fill="FFFFFF"/>
        </w:rPr>
      </w:pPr>
      <w:r>
        <w:rPr>
          <w:rFonts w:hint="eastAsia" w:ascii="宋体" w:hAnsi="宋体"/>
          <w:b/>
          <w:color w:val="auto"/>
          <w:sz w:val="24"/>
          <w:shd w:val="clear" w:color="auto" w:fill="FFFFFF"/>
        </w:rPr>
        <w:t>优秀组织奖设外语类1名，奖励5000元；非外语类1名，奖励5000元，</w:t>
      </w:r>
      <w:r>
        <w:rPr>
          <w:rFonts w:hint="eastAsia" w:ascii="宋体" w:hAnsi="宋体"/>
          <w:color w:val="auto"/>
          <w:sz w:val="24"/>
          <w:shd w:val="clear" w:color="auto" w:fill="FFFFFF"/>
        </w:rPr>
        <w:t>各单位依据“</w:t>
      </w:r>
      <w:r>
        <w:rPr>
          <w:rFonts w:hint="eastAsia"/>
          <w:color w:val="auto"/>
          <w:sz w:val="24"/>
          <w:szCs w:val="28"/>
        </w:rPr>
        <w:t>随时随地学外语·讲外语·用外语</w:t>
      </w:r>
      <w:r>
        <w:rPr>
          <w:rFonts w:hint="eastAsia" w:ascii="宋体" w:hAnsi="宋体"/>
          <w:color w:val="auto"/>
          <w:sz w:val="24"/>
          <w:shd w:val="clear" w:color="auto" w:fill="FFFFFF"/>
        </w:rPr>
        <w:t>”活动考核评审指标（分外语类和非外语类）总结推进此项活动的材料报教务处实践教学科，由学校“强化外语语言训练，提高外语运用能力”领导小组评定产生优秀组织奖获奖单位。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left"/>
        <w:rPr>
          <w:rFonts w:ascii="宋体" w:hAnsi="宋体"/>
          <w:b/>
          <w:color w:val="auto"/>
          <w:sz w:val="24"/>
          <w:shd w:val="clear" w:color="auto" w:fill="FFFFFF"/>
        </w:rPr>
      </w:pPr>
      <w:r>
        <w:rPr>
          <w:rFonts w:hint="eastAsia" w:ascii="宋体" w:hAnsi="宋体"/>
          <w:b/>
          <w:color w:val="auto"/>
          <w:sz w:val="24"/>
          <w:shd w:val="clear" w:color="auto" w:fill="FFFFFF"/>
        </w:rPr>
        <w:t>先进班级奖：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left"/>
        <w:rPr>
          <w:rFonts w:ascii="宋体" w:hAnsi="宋体"/>
          <w:color w:val="auto"/>
          <w:sz w:val="24"/>
          <w:shd w:val="clear" w:color="auto" w:fill="FFFFFF"/>
        </w:rPr>
      </w:pPr>
      <w:r>
        <w:rPr>
          <w:rFonts w:hint="eastAsia" w:ascii="宋体" w:hAnsi="宋体"/>
          <w:b/>
          <w:color w:val="auto"/>
          <w:sz w:val="24"/>
          <w:shd w:val="clear" w:color="auto" w:fill="FFFFFF"/>
        </w:rPr>
        <w:t>先进班级奖设外语类一等奖1名,奖励3000元，二等奖2名，奖励2000元，三等奖5名，奖励1000元；非外语类一等奖1名，奖励3000元，二等奖2名，奖励2000元，三等奖5名，奖励1000元。</w:t>
      </w:r>
      <w:r>
        <w:rPr>
          <w:rFonts w:hint="eastAsia" w:ascii="宋体" w:hAnsi="宋体"/>
          <w:color w:val="auto"/>
          <w:sz w:val="24"/>
          <w:shd w:val="clear" w:color="auto" w:fill="FFFFFF"/>
        </w:rPr>
        <w:t>每个学院推荐一个班级名单作为先进班级奖的候选，将班级开展活动的材料报教务处实践教学科，由学校“强化外语语言训练，提高外语运用能力”领导小组根据晨读抽查情况或日常活动开展情况评定产生先进班级。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left"/>
        <w:rPr>
          <w:rFonts w:ascii="宋体" w:hAnsi="宋体"/>
          <w:b/>
          <w:color w:val="auto"/>
          <w:sz w:val="24"/>
          <w:shd w:val="clear" w:color="auto" w:fill="FFFFFF"/>
        </w:rPr>
      </w:pPr>
      <w:r>
        <w:rPr>
          <w:rFonts w:hint="eastAsia" w:ascii="宋体" w:hAnsi="宋体"/>
          <w:b/>
          <w:color w:val="auto"/>
          <w:sz w:val="24"/>
          <w:shd w:val="clear" w:color="auto" w:fill="FFFFFF"/>
        </w:rPr>
        <w:t>先进个人奖：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left"/>
        <w:rPr>
          <w:rFonts w:ascii="宋体" w:hAnsi="宋体"/>
          <w:color w:val="auto"/>
          <w:sz w:val="24"/>
          <w:shd w:val="clear" w:color="auto" w:fill="FFFFFF"/>
        </w:rPr>
      </w:pPr>
      <w:r>
        <w:rPr>
          <w:rFonts w:hint="eastAsia" w:ascii="宋体" w:hAnsi="宋体"/>
          <w:b/>
          <w:color w:val="auto"/>
          <w:sz w:val="24"/>
          <w:shd w:val="clear" w:color="auto" w:fill="FFFFFF"/>
        </w:rPr>
        <w:t>先进个人奖设外语类一等奖1名,奖励2000元，二等奖1名，奖励1000元；非外语类一等奖1名，奖励2000元，二等奖1名，奖励1000元；行政教辅一等奖1名2000元，二等奖1名，奖励1000元。</w:t>
      </w:r>
      <w:r>
        <w:rPr>
          <w:rFonts w:hint="eastAsia" w:ascii="宋体" w:hAnsi="宋体"/>
          <w:color w:val="auto"/>
          <w:sz w:val="24"/>
          <w:shd w:val="clear" w:color="auto" w:fill="FFFFFF"/>
        </w:rPr>
        <w:t>每个学院推荐一名先进个人奖候选人，候选人名单及主要事迹报教务处实践教学科，由学校“强化外语语言训练，提高外语运用能力”领导小组评定产生先进个人奖获奖人。</w:t>
      </w:r>
    </w:p>
    <w:p>
      <w:pPr>
        <w:spacing w:line="336" w:lineRule="auto"/>
        <w:ind w:firstLine="1680" w:firstLineChars="7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“强化外语语言训练，提升外语运用能力”工作领导小组</w:t>
      </w:r>
    </w:p>
    <w:p>
      <w:pPr>
        <w:spacing w:line="336" w:lineRule="auto"/>
        <w:ind w:firstLine="3480" w:firstLineChars="145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 xml:space="preserve">               2020年9月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8日</w:t>
      </w:r>
    </w:p>
    <w:p>
      <w:pPr>
        <w:autoSpaceDE w:val="0"/>
        <w:autoSpaceDN w:val="0"/>
        <w:adjustRightInd w:val="0"/>
        <w:spacing w:line="360" w:lineRule="auto"/>
        <w:ind w:firstLine="3240" w:firstLineChars="1350"/>
        <w:jc w:val="left"/>
        <w:rPr>
          <w:rFonts w:ascii="宋体" w:hAnsi="宋体"/>
          <w:color w:val="auto"/>
          <w:sz w:val="24"/>
          <w:shd w:val="clear" w:color="auto" w:fill="FFFFFF"/>
        </w:rPr>
      </w:pPr>
    </w:p>
    <w:p>
      <w:pPr>
        <w:rPr>
          <w:color w:val="auto"/>
        </w:rPr>
      </w:pPr>
    </w:p>
    <w:p>
      <w:pPr>
        <w:spacing w:line="336" w:lineRule="auto"/>
        <w:ind w:left="-565" w:leftChars="-405" w:hanging="285"/>
        <w:rPr>
          <w:rFonts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>附件2</w:t>
      </w:r>
    </w:p>
    <w:tbl>
      <w:tblPr>
        <w:tblStyle w:val="3"/>
        <w:tblW w:w="9960" w:type="dxa"/>
        <w:tblInd w:w="-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85"/>
        <w:gridCol w:w="2299"/>
        <w:gridCol w:w="1331"/>
        <w:gridCol w:w="1331"/>
        <w:gridCol w:w="1653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0"/>
                <w:szCs w:val="30"/>
              </w:rPr>
              <w:t>2020-2021学年度第一学期“随时随地学外语•讲外语•用外语”活动</w:t>
            </w:r>
          </w:p>
          <w:p>
            <w:pPr>
              <w:widowControl/>
              <w:ind w:left="-659" w:leftChars="-31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0"/>
                <w:szCs w:val="30"/>
              </w:rPr>
              <w:t>晨读抽检汇总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学院</w:t>
            </w:r>
          </w:p>
        </w:tc>
        <w:tc>
          <w:tcPr>
            <w:tcW w:w="6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班级</w:t>
            </w:r>
          </w:p>
        </w:tc>
        <w:tc>
          <w:tcPr>
            <w:tcW w:w="22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考勤（平均率）</w:t>
            </w:r>
          </w:p>
        </w:tc>
        <w:tc>
          <w:tcPr>
            <w:tcW w:w="6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评级（优、良、合格、不合格）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优（次）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良（次）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合格（次）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不合格（次）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注：每班级每学期抽查10次。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评价标准：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优:无迟到早退现象，精神饱满，有浓厚的读书氛围，无睡觉、吃早餐等情况。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良:无迟到早退现象，精神状态良好，有较浓厚的读书氛围，无睡觉、吃早餐等情况。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合格:有个别迟到早退现象，精神状态良好，有一定的读书氛围，有个别睡觉、吃早餐等情况。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差:迟到早退现象明显，精神面貌差，参与晨读人数少，睡觉、玩手机现象普遍等情况。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auto"/>
          <w:sz w:val="24"/>
          <w:shd w:val="clear" w:color="auto" w:fill="FFFFFF"/>
        </w:rPr>
      </w:pPr>
    </w:p>
    <w:p>
      <w:pPr>
        <w:spacing w:line="336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</w:p>
    <w:p>
      <w:pPr>
        <w:spacing w:line="336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</w:p>
    <w:p>
      <w:pPr>
        <w:spacing w:line="336" w:lineRule="auto"/>
        <w:rPr>
          <w:rFonts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>附件3</w:t>
      </w:r>
    </w:p>
    <w:p>
      <w:pPr>
        <w:spacing w:line="336" w:lineRule="auto"/>
        <w:jc w:val="center"/>
        <w:rPr>
          <w:rFonts w:asciiTheme="minorEastAsia" w:hAnsiTheme="minorEastAsia" w:eastAsiaTheme="minorEastAsia"/>
          <w:b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</w:rPr>
        <w:t>20  -20  第  学期晨读地点安排表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175"/>
        <w:gridCol w:w="1885"/>
        <w:gridCol w:w="232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6" w:type="dxa"/>
          </w:tcPr>
          <w:p>
            <w:pPr>
              <w:spacing w:line="336" w:lineRule="auto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75" w:type="dxa"/>
          </w:tcPr>
          <w:p>
            <w:pPr>
              <w:spacing w:line="336" w:lineRule="auto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参评班级</w:t>
            </w:r>
          </w:p>
        </w:tc>
        <w:tc>
          <w:tcPr>
            <w:tcW w:w="1885" w:type="dxa"/>
          </w:tcPr>
          <w:p>
            <w:pPr>
              <w:spacing w:line="336" w:lineRule="auto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室内地址</w:t>
            </w:r>
          </w:p>
        </w:tc>
        <w:tc>
          <w:tcPr>
            <w:tcW w:w="2320" w:type="dxa"/>
          </w:tcPr>
          <w:p>
            <w:pPr>
              <w:spacing w:line="336" w:lineRule="auto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室外地址</w:t>
            </w:r>
          </w:p>
        </w:tc>
        <w:tc>
          <w:tcPr>
            <w:tcW w:w="1502" w:type="dxa"/>
          </w:tcPr>
          <w:p>
            <w:pPr>
              <w:spacing w:line="336" w:lineRule="auto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6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spacing w:line="336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</w:tbl>
    <w:p>
      <w:pPr>
        <w:spacing w:line="336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326237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0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2020-09-19T05:51:01Z</dcterms:created>
  <dc:creator>ACER-PC</dc:creator>
  <cp:lastModifiedBy>ACER-PC</cp:lastModifiedBy>
  <dcterms:modified xsi:type="dcterms:W3CDTF">2020-09-19T05:51:16Z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