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32"/>
          <w:szCs w:val="28"/>
        </w:rPr>
      </w:pPr>
      <w:r>
        <w:rPr>
          <w:rFonts w:hint="eastAsia" w:ascii="宋体" w:hAnsi="宋体" w:eastAsia="宋体"/>
          <w:b/>
          <w:bCs/>
          <w:sz w:val="32"/>
          <w:szCs w:val="28"/>
        </w:rPr>
        <w:t>关于开展2020年校级一流课程申报工作的通知</w:t>
      </w:r>
    </w:p>
    <w:p>
      <w:pPr>
        <w:spacing w:line="360" w:lineRule="auto"/>
        <w:rPr>
          <w:rFonts w:ascii="宋体" w:hAnsi="宋体" w:eastAsia="宋体"/>
          <w:sz w:val="24"/>
          <w:szCs w:val="24"/>
        </w:rPr>
      </w:pPr>
    </w:p>
    <w:p>
      <w:pPr>
        <w:spacing w:line="360" w:lineRule="auto"/>
        <w:rPr>
          <w:rFonts w:ascii="宋体" w:hAnsi="宋体" w:eastAsia="宋体"/>
          <w:sz w:val="24"/>
          <w:szCs w:val="24"/>
        </w:rPr>
      </w:pPr>
      <w:r>
        <w:rPr>
          <w:rFonts w:hint="eastAsia" w:ascii="宋体" w:hAnsi="宋体" w:eastAsia="宋体"/>
          <w:sz w:val="24"/>
          <w:szCs w:val="24"/>
        </w:rPr>
        <w:t>各教学单位：</w:t>
      </w:r>
    </w:p>
    <w:p>
      <w:pPr>
        <w:spacing w:line="360" w:lineRule="auto"/>
        <w:ind w:firstLine="480"/>
        <w:rPr>
          <w:rFonts w:ascii="宋体" w:hAnsi="宋体" w:eastAsia="宋体"/>
          <w:sz w:val="24"/>
          <w:szCs w:val="24"/>
        </w:rPr>
      </w:pPr>
      <w:r>
        <w:rPr>
          <w:rFonts w:hint="eastAsia" w:ascii="宋体" w:hAnsi="宋体" w:eastAsia="宋体"/>
          <w:sz w:val="24"/>
          <w:szCs w:val="24"/>
        </w:rPr>
        <w:t>为贯彻落实《广东外语外贸大学南国商学院一流课程建设实施方案》精神，现开展2020年校级一流课程申报工作，</w:t>
      </w:r>
      <w:r>
        <w:rPr>
          <w:rFonts w:hint="eastAsia" w:ascii="宋体" w:hAnsi="宋体" w:eastAsia="宋体"/>
          <w:sz w:val="24"/>
          <w:szCs w:val="24"/>
          <w:lang w:eastAsia="zh-CN"/>
        </w:rPr>
        <w:t>现将</w:t>
      </w:r>
      <w:r>
        <w:rPr>
          <w:rFonts w:ascii="宋体" w:hAnsi="宋体" w:eastAsia="宋体"/>
          <w:sz w:val="24"/>
          <w:szCs w:val="24"/>
        </w:rPr>
        <w:t>有关事项要求如下：</w:t>
      </w:r>
    </w:p>
    <w:p>
      <w:pPr>
        <w:spacing w:line="360" w:lineRule="auto"/>
        <w:ind w:firstLine="490"/>
        <w:rPr>
          <w:rFonts w:hint="eastAsia" w:ascii="宋体" w:hAnsi="宋体" w:eastAsia="宋体"/>
          <w:b/>
          <w:sz w:val="24"/>
          <w:szCs w:val="24"/>
          <w:lang w:eastAsia="zh-CN"/>
        </w:rPr>
      </w:pPr>
      <w:r>
        <w:rPr>
          <w:rFonts w:hint="eastAsia" w:ascii="宋体" w:hAnsi="宋体" w:eastAsia="宋体"/>
          <w:b/>
          <w:sz w:val="24"/>
          <w:szCs w:val="24"/>
        </w:rPr>
        <w:t>一、</w:t>
      </w:r>
      <w:r>
        <w:rPr>
          <w:rFonts w:hint="eastAsia" w:ascii="宋体" w:hAnsi="宋体" w:eastAsia="宋体"/>
          <w:b/>
          <w:sz w:val="24"/>
          <w:szCs w:val="24"/>
          <w:lang w:eastAsia="zh-CN"/>
        </w:rPr>
        <w:t>建设类型</w:t>
      </w:r>
      <w:r>
        <w:rPr>
          <w:rFonts w:hint="eastAsia" w:ascii="宋体" w:hAnsi="宋体" w:eastAsia="宋体"/>
          <w:b/>
          <w:sz w:val="24"/>
          <w:szCs w:val="24"/>
        </w:rPr>
        <w:t>与</w:t>
      </w:r>
      <w:r>
        <w:rPr>
          <w:rFonts w:hint="eastAsia" w:ascii="宋体" w:hAnsi="宋体" w:eastAsia="宋体"/>
          <w:b/>
          <w:sz w:val="24"/>
          <w:szCs w:val="24"/>
          <w:lang w:eastAsia="zh-CN"/>
        </w:rPr>
        <w:t>数量</w:t>
      </w:r>
    </w:p>
    <w:p>
      <w:pPr>
        <w:spacing w:line="360" w:lineRule="auto"/>
        <w:ind w:firstLine="490"/>
        <w:rPr>
          <w:rFonts w:hint="eastAsia" w:ascii="宋体" w:hAnsi="宋体" w:eastAsia="宋体"/>
          <w:sz w:val="24"/>
          <w:szCs w:val="24"/>
          <w:lang w:eastAsia="zh-CN"/>
        </w:rPr>
      </w:pPr>
      <w:r>
        <w:rPr>
          <w:rFonts w:hint="eastAsia" w:ascii="宋体" w:hAnsi="宋体" w:eastAsia="宋体"/>
          <w:sz w:val="24"/>
          <w:szCs w:val="24"/>
        </w:rPr>
        <w:t>1.</w:t>
      </w:r>
      <w:r>
        <w:rPr>
          <w:rFonts w:hint="eastAsia" w:ascii="宋体" w:hAnsi="宋体" w:eastAsia="宋体"/>
          <w:sz w:val="24"/>
          <w:szCs w:val="24"/>
          <w:lang w:eastAsia="zh-CN"/>
        </w:rPr>
        <w:t>建设类型</w:t>
      </w:r>
    </w:p>
    <w:p>
      <w:pPr>
        <w:spacing w:line="360" w:lineRule="auto"/>
        <w:ind w:firstLine="490"/>
        <w:rPr>
          <w:rFonts w:hint="eastAsia" w:ascii="宋体" w:hAnsi="宋体" w:eastAsia="宋体"/>
          <w:sz w:val="24"/>
          <w:szCs w:val="24"/>
          <w:lang w:eastAsia="zh-CN"/>
        </w:rPr>
      </w:pPr>
      <w:r>
        <w:rPr>
          <w:rFonts w:hint="eastAsia" w:ascii="宋体" w:hAnsi="宋体" w:eastAsia="宋体"/>
          <w:sz w:val="24"/>
          <w:szCs w:val="24"/>
        </w:rPr>
        <w:t>校级一流课程</w:t>
      </w:r>
      <w:r>
        <w:rPr>
          <w:rFonts w:hint="eastAsia" w:ascii="宋体" w:hAnsi="宋体" w:eastAsia="宋体"/>
          <w:sz w:val="24"/>
          <w:szCs w:val="24"/>
          <w:lang w:eastAsia="zh-CN"/>
        </w:rPr>
        <w:t>建设类型</w:t>
      </w:r>
      <w:r>
        <w:rPr>
          <w:rFonts w:hint="eastAsia" w:ascii="宋体" w:hAnsi="宋体" w:eastAsia="宋体"/>
          <w:sz w:val="24"/>
          <w:szCs w:val="24"/>
        </w:rPr>
        <w:t>包括线下一流课程、线上一流课程、线上线下混合式一流课程、虚拟仿真实验教学一流课程和社会实践一流课程五大类型。</w:t>
      </w:r>
      <w:r>
        <w:rPr>
          <w:rFonts w:hint="eastAsia" w:ascii="宋体" w:hAnsi="宋体" w:eastAsia="宋体"/>
          <w:sz w:val="24"/>
          <w:szCs w:val="24"/>
          <w:lang w:eastAsia="zh-CN"/>
        </w:rPr>
        <w:t>本年度校级虚拟仿真实验教学一流课程与校级质量工程建设项目中示范性虚拟仿真实验教学项目遴选合并进行，不再单独组织申报。</w:t>
      </w:r>
    </w:p>
    <w:p>
      <w:pPr>
        <w:spacing w:line="360" w:lineRule="auto"/>
        <w:ind w:firstLine="490"/>
        <w:rPr>
          <w:rFonts w:ascii="宋体" w:hAnsi="宋体" w:eastAsia="宋体"/>
          <w:sz w:val="24"/>
          <w:szCs w:val="24"/>
        </w:rPr>
      </w:pPr>
      <w:r>
        <w:rPr>
          <w:rFonts w:hint="eastAsia" w:ascii="宋体" w:hAnsi="宋体" w:eastAsia="宋体"/>
          <w:sz w:val="24"/>
          <w:szCs w:val="24"/>
        </w:rPr>
        <w:t>2.拟立项数</w:t>
      </w:r>
    </w:p>
    <w:p>
      <w:pPr>
        <w:spacing w:line="360" w:lineRule="auto"/>
        <w:ind w:firstLine="490"/>
        <w:rPr>
          <w:rFonts w:ascii="宋体" w:hAnsi="宋体" w:eastAsia="宋体"/>
          <w:sz w:val="24"/>
          <w:szCs w:val="24"/>
        </w:rPr>
      </w:pPr>
      <w:r>
        <w:rPr>
          <w:rFonts w:hint="eastAsia" w:ascii="宋体" w:hAnsi="宋体" w:eastAsia="宋体"/>
          <w:sz w:val="24"/>
          <w:szCs w:val="24"/>
        </w:rPr>
        <w:t>本年度校级一流课程拟立项10项，具体各</w:t>
      </w:r>
      <w:r>
        <w:rPr>
          <w:rFonts w:hint="eastAsia" w:ascii="宋体" w:hAnsi="宋体" w:eastAsia="宋体"/>
          <w:sz w:val="24"/>
          <w:szCs w:val="24"/>
          <w:lang w:eastAsia="zh-CN"/>
        </w:rPr>
        <w:t>类型</w:t>
      </w:r>
      <w:r>
        <w:rPr>
          <w:rFonts w:hint="eastAsia" w:ascii="宋体" w:hAnsi="宋体" w:eastAsia="宋体"/>
          <w:sz w:val="24"/>
          <w:szCs w:val="24"/>
        </w:rPr>
        <w:t>项目拟立项数见《2020年度校级一流课程拟立项数及资助金额》（附件</w:t>
      </w:r>
      <w:r>
        <w:rPr>
          <w:rFonts w:hint="eastAsia" w:ascii="宋体" w:hAnsi="宋体" w:eastAsia="宋体"/>
          <w:sz w:val="24"/>
          <w:szCs w:val="24"/>
          <w:lang w:val="en-US" w:eastAsia="zh-CN"/>
        </w:rPr>
        <w:t>1</w:t>
      </w:r>
      <w:r>
        <w:rPr>
          <w:rFonts w:hint="eastAsia" w:ascii="宋体" w:hAnsi="宋体" w:eastAsia="宋体"/>
          <w:sz w:val="24"/>
          <w:szCs w:val="24"/>
        </w:rPr>
        <w:t>）。</w:t>
      </w:r>
    </w:p>
    <w:p>
      <w:pPr>
        <w:spacing w:line="360" w:lineRule="auto"/>
        <w:ind w:firstLine="490"/>
        <w:rPr>
          <w:rFonts w:ascii="宋体" w:hAnsi="宋体" w:eastAsia="宋体"/>
          <w:b/>
          <w:bCs/>
          <w:sz w:val="24"/>
          <w:szCs w:val="24"/>
        </w:rPr>
      </w:pPr>
      <w:r>
        <w:rPr>
          <w:rFonts w:hint="eastAsia" w:ascii="宋体" w:hAnsi="宋体" w:eastAsia="宋体"/>
          <w:b/>
          <w:bCs/>
          <w:sz w:val="24"/>
          <w:szCs w:val="24"/>
        </w:rPr>
        <w:t>二、申报要求</w:t>
      </w:r>
    </w:p>
    <w:p>
      <w:pPr>
        <w:spacing w:line="360" w:lineRule="auto"/>
        <w:ind w:firstLine="480"/>
        <w:rPr>
          <w:rFonts w:ascii="宋体" w:hAnsi="宋体" w:eastAsia="宋体"/>
          <w:sz w:val="24"/>
          <w:szCs w:val="24"/>
        </w:rPr>
      </w:pPr>
      <w:r>
        <w:rPr>
          <w:rFonts w:hint="eastAsia" w:ascii="宋体" w:hAnsi="宋体" w:eastAsia="宋体"/>
          <w:sz w:val="24"/>
          <w:szCs w:val="24"/>
          <w:lang w:val="en-US" w:eastAsia="zh-CN"/>
        </w:rPr>
        <w:t>1.</w:t>
      </w:r>
      <w:r>
        <w:rPr>
          <w:rFonts w:hint="eastAsia" w:ascii="宋体" w:hAnsi="宋体" w:eastAsia="宋体"/>
          <w:sz w:val="24"/>
          <w:szCs w:val="24"/>
        </w:rPr>
        <w:t>申报范围</w:t>
      </w:r>
      <w:r>
        <w:rPr>
          <w:rFonts w:hint="eastAsia" w:ascii="宋体" w:hAnsi="宋体" w:eastAsia="宋体"/>
          <w:sz w:val="24"/>
          <w:szCs w:val="24"/>
          <w:lang w:eastAsia="zh-CN"/>
        </w:rPr>
        <w:t>。</w:t>
      </w:r>
      <w:r>
        <w:rPr>
          <w:rFonts w:hint="eastAsia" w:ascii="宋体" w:hAnsi="宋体" w:eastAsia="宋体"/>
          <w:sz w:val="24"/>
          <w:szCs w:val="24"/>
        </w:rPr>
        <w:t>已列入我校本科人才培养方案，</w:t>
      </w:r>
      <w:r>
        <w:rPr>
          <w:rFonts w:hint="eastAsia" w:ascii="宋体" w:hAnsi="宋体" w:eastAsia="宋体"/>
          <w:sz w:val="24"/>
          <w:szCs w:val="24"/>
          <w:lang w:val="en-US" w:eastAsia="zh-CN"/>
        </w:rPr>
        <w:t>2018年9月1日以来</w:t>
      </w:r>
      <w:r>
        <w:rPr>
          <w:rFonts w:hint="eastAsia" w:ascii="宋体" w:hAnsi="宋体" w:eastAsia="宋体"/>
          <w:sz w:val="24"/>
          <w:szCs w:val="24"/>
        </w:rPr>
        <w:t>至少已经开设1个学期，且未来</w:t>
      </w:r>
      <w:r>
        <w:rPr>
          <w:rFonts w:hint="eastAsia" w:ascii="宋体" w:hAnsi="宋体" w:eastAsia="宋体"/>
          <w:sz w:val="24"/>
          <w:szCs w:val="24"/>
          <w:lang w:val="en-US" w:eastAsia="zh-CN"/>
        </w:rPr>
        <w:t>6</w:t>
      </w:r>
      <w:r>
        <w:rPr>
          <w:rFonts w:hint="eastAsia" w:ascii="宋体" w:hAnsi="宋体" w:eastAsia="宋体"/>
          <w:sz w:val="24"/>
          <w:szCs w:val="24"/>
        </w:rPr>
        <w:t>年能稳定开设的课程均可申报。</w:t>
      </w:r>
    </w:p>
    <w:p>
      <w:pPr>
        <w:spacing w:line="360" w:lineRule="auto"/>
        <w:ind w:firstLine="480"/>
        <w:rPr>
          <w:rFonts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每门课程只能从线下一流课程、线上一流课程、线上线下混合式一流课程和社会实践一流课程中选择一类进行申报。</w:t>
      </w:r>
    </w:p>
    <w:p>
      <w:pPr>
        <w:spacing w:line="360" w:lineRule="auto"/>
        <w:ind w:firstLine="480"/>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课程负责人须为我校专职教师，一般应有副高及以上职称（特别优秀的课程，负责人职称可放宽至中级），</w:t>
      </w:r>
      <w:r>
        <w:rPr>
          <w:rFonts w:ascii="宋体" w:hAnsi="宋体" w:eastAsia="宋体"/>
          <w:sz w:val="24"/>
          <w:szCs w:val="24"/>
        </w:rPr>
        <w:t>长期稳定从事一线本科教学，具有丰富的课堂讲授经验和良好的教学口碑</w:t>
      </w:r>
      <w:r>
        <w:rPr>
          <w:rFonts w:hint="eastAsia" w:ascii="宋体" w:hAnsi="宋体" w:eastAsia="宋体"/>
          <w:sz w:val="24"/>
          <w:szCs w:val="24"/>
          <w:lang w:eastAsia="zh-CN"/>
        </w:rPr>
        <w:t>，年龄一般在</w:t>
      </w:r>
      <w:r>
        <w:rPr>
          <w:rFonts w:hint="eastAsia" w:ascii="宋体" w:hAnsi="宋体" w:eastAsia="宋体"/>
          <w:sz w:val="24"/>
          <w:szCs w:val="24"/>
          <w:lang w:val="en-US" w:eastAsia="zh-CN"/>
        </w:rPr>
        <w:t>55周岁（截至2020年9月1日，特别优秀的教师在与学校签订续聘协议、能够保证课程服务年限情况下，可放宽至60周岁）</w:t>
      </w:r>
      <w:r>
        <w:rPr>
          <w:rFonts w:hint="eastAsia" w:ascii="宋体" w:hAnsi="宋体" w:eastAsia="宋体"/>
          <w:sz w:val="24"/>
          <w:szCs w:val="24"/>
        </w:rPr>
        <w:t>。每位课程负责人只能申报主持一门课程。</w:t>
      </w:r>
    </w:p>
    <w:p>
      <w:pPr>
        <w:spacing w:line="360" w:lineRule="auto"/>
        <w:ind w:firstLine="480"/>
        <w:rPr>
          <w:rFonts w:hint="eastAsia" w:ascii="宋体" w:hAnsi="宋体" w:eastAsia="宋体"/>
          <w:sz w:val="24"/>
          <w:szCs w:val="24"/>
        </w:rPr>
      </w:pPr>
      <w:r>
        <w:rPr>
          <w:rFonts w:hint="eastAsia" w:ascii="宋体" w:hAnsi="宋体" w:eastAsia="宋体"/>
          <w:sz w:val="24"/>
          <w:szCs w:val="24"/>
          <w:lang w:val="en-US" w:eastAsia="zh-CN"/>
        </w:rPr>
        <w:t>4.</w:t>
      </w:r>
      <w:r>
        <w:rPr>
          <w:rFonts w:hint="eastAsia" w:ascii="宋体" w:hAnsi="宋体" w:eastAsia="宋体"/>
          <w:sz w:val="24"/>
          <w:szCs w:val="24"/>
        </w:rPr>
        <w:t>课程组全体成员须具有良好的师德师风、高度的教学热情，具有较为丰富的教学经验，能够熟练运用现代化信息技术与数字化教学手段，教学效果优秀，并能保证课程按期保质建设、更新、应用和推广。</w:t>
      </w:r>
    </w:p>
    <w:p>
      <w:pPr>
        <w:spacing w:line="360" w:lineRule="auto"/>
        <w:ind w:firstLine="480"/>
        <w:rPr>
          <w:rFonts w:hint="eastAsia" w:ascii="宋体" w:hAnsi="宋体" w:eastAsia="宋体"/>
          <w:b/>
          <w:bCs/>
          <w:sz w:val="24"/>
          <w:szCs w:val="24"/>
          <w:lang w:eastAsia="zh-CN"/>
        </w:rPr>
      </w:pPr>
      <w:r>
        <w:rPr>
          <w:rFonts w:hint="eastAsia" w:ascii="宋体" w:hAnsi="宋体" w:eastAsia="宋体"/>
          <w:b/>
          <w:bCs/>
          <w:sz w:val="24"/>
          <w:szCs w:val="24"/>
          <w:lang w:eastAsia="zh-CN"/>
        </w:rPr>
        <w:t>三、建设标准</w:t>
      </w:r>
    </w:p>
    <w:p>
      <w:pPr>
        <w:spacing w:line="360" w:lineRule="auto"/>
        <w:ind w:firstLine="480"/>
        <w:rPr>
          <w:rFonts w:hint="eastAsia" w:ascii="宋体" w:hAnsi="宋体" w:eastAsia="宋体"/>
          <w:sz w:val="24"/>
          <w:szCs w:val="24"/>
          <w:lang w:eastAsia="zh-CN"/>
        </w:rPr>
      </w:pPr>
      <w:r>
        <w:rPr>
          <w:rFonts w:hint="eastAsia" w:ascii="宋体" w:hAnsi="宋体" w:eastAsia="宋体"/>
          <w:sz w:val="24"/>
          <w:szCs w:val="24"/>
          <w:lang w:eastAsia="zh-CN"/>
        </w:rPr>
        <w:t>校级一流课程的建设标准见《</w:t>
      </w:r>
      <w:r>
        <w:rPr>
          <w:rFonts w:hint="eastAsia" w:ascii="宋体" w:hAnsi="宋体" w:eastAsia="宋体"/>
          <w:sz w:val="24"/>
          <w:szCs w:val="24"/>
        </w:rPr>
        <w:t>广东外语外贸大学南国商学院一流课程建设实施方案</w:t>
      </w:r>
      <w:r>
        <w:rPr>
          <w:rFonts w:hint="eastAsia" w:ascii="宋体" w:hAnsi="宋体" w:eastAsia="宋体"/>
          <w:sz w:val="24"/>
          <w:szCs w:val="24"/>
          <w:lang w:eastAsia="zh-CN"/>
        </w:rPr>
        <w:t>》（附件</w:t>
      </w:r>
      <w:r>
        <w:rPr>
          <w:rFonts w:hint="eastAsia" w:ascii="宋体" w:hAnsi="宋体" w:eastAsia="宋体"/>
          <w:sz w:val="24"/>
          <w:szCs w:val="24"/>
          <w:lang w:val="en-US" w:eastAsia="zh-CN"/>
        </w:rPr>
        <w:t>2</w:t>
      </w:r>
      <w:r>
        <w:rPr>
          <w:rFonts w:hint="eastAsia" w:ascii="宋体" w:hAnsi="宋体" w:eastAsia="宋体"/>
          <w:sz w:val="24"/>
          <w:szCs w:val="24"/>
          <w:lang w:eastAsia="zh-CN"/>
        </w:rPr>
        <w:t>）的有关规定。</w:t>
      </w:r>
    </w:p>
    <w:p>
      <w:pPr>
        <w:spacing w:line="360" w:lineRule="auto"/>
        <w:ind w:firstLine="480"/>
        <w:rPr>
          <w:rFonts w:hint="eastAsia" w:ascii="宋体" w:hAnsi="宋体" w:eastAsia="宋体"/>
          <w:b/>
          <w:bCs/>
          <w:sz w:val="24"/>
          <w:szCs w:val="24"/>
          <w:lang w:eastAsia="zh-CN"/>
        </w:rPr>
      </w:pPr>
      <w:r>
        <w:rPr>
          <w:rFonts w:hint="eastAsia" w:ascii="宋体" w:hAnsi="宋体" w:eastAsia="宋体"/>
          <w:b/>
          <w:bCs/>
          <w:sz w:val="24"/>
          <w:szCs w:val="24"/>
          <w:lang w:eastAsia="zh-CN"/>
        </w:rPr>
        <w:t>四</w:t>
      </w:r>
      <w:r>
        <w:rPr>
          <w:rFonts w:hint="eastAsia" w:ascii="宋体" w:hAnsi="宋体" w:eastAsia="宋体"/>
          <w:b/>
          <w:bCs/>
          <w:sz w:val="24"/>
          <w:szCs w:val="24"/>
        </w:rPr>
        <w:t>、申报材料</w:t>
      </w:r>
      <w:r>
        <w:rPr>
          <w:rFonts w:hint="eastAsia" w:ascii="宋体" w:hAnsi="宋体" w:eastAsia="宋体"/>
          <w:b/>
          <w:bCs/>
          <w:sz w:val="24"/>
          <w:szCs w:val="24"/>
          <w:lang w:eastAsia="zh-CN"/>
        </w:rPr>
        <w:t>要求</w:t>
      </w:r>
    </w:p>
    <w:p>
      <w:pPr>
        <w:spacing w:line="360" w:lineRule="auto"/>
        <w:ind w:firstLine="480"/>
        <w:rPr>
          <w:rFonts w:ascii="宋体" w:hAnsi="宋体" w:eastAsia="宋体"/>
          <w:sz w:val="24"/>
          <w:szCs w:val="24"/>
        </w:rPr>
      </w:pPr>
      <w:r>
        <w:rPr>
          <w:rFonts w:hint="eastAsia" w:ascii="宋体" w:hAnsi="宋体" w:eastAsia="宋体"/>
          <w:sz w:val="24"/>
          <w:szCs w:val="24"/>
        </w:rPr>
        <w:t>1.广东外语外贸大学南国商学院一流课程申报书（一式七份）</w:t>
      </w:r>
      <w:r>
        <w:rPr>
          <w:rFonts w:ascii="宋体" w:hAnsi="宋体" w:eastAsia="宋体"/>
          <w:sz w:val="24"/>
          <w:szCs w:val="24"/>
        </w:rPr>
        <w:t>（附件</w:t>
      </w:r>
      <w:r>
        <w:rPr>
          <w:rFonts w:hint="eastAsia" w:ascii="宋体" w:hAnsi="宋体" w:eastAsia="宋体"/>
          <w:sz w:val="24"/>
          <w:szCs w:val="24"/>
          <w:lang w:val="en-US" w:eastAsia="zh-CN"/>
        </w:rPr>
        <w:t>3</w:t>
      </w:r>
      <w:r>
        <w:rPr>
          <w:rFonts w:ascii="宋体" w:hAnsi="宋体" w:eastAsia="宋体"/>
          <w:sz w:val="24"/>
          <w:szCs w:val="24"/>
        </w:rPr>
        <w:t>）</w:t>
      </w:r>
      <w:r>
        <w:rPr>
          <w:rFonts w:hint="eastAsia" w:ascii="宋体" w:hAnsi="宋体" w:eastAsia="宋体"/>
          <w:sz w:val="24"/>
          <w:szCs w:val="24"/>
        </w:rPr>
        <w:t>。</w:t>
      </w:r>
    </w:p>
    <w:p>
      <w:pPr>
        <w:spacing w:line="360" w:lineRule="auto"/>
        <w:ind w:firstLine="48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.2020年度校级一流课程推荐汇总表</w:t>
      </w:r>
      <w:r>
        <w:rPr>
          <w:rFonts w:hint="eastAsia" w:ascii="宋体" w:hAnsi="宋体" w:eastAsia="宋体"/>
          <w:sz w:val="24"/>
          <w:szCs w:val="24"/>
        </w:rPr>
        <w:t>（一式一份）（附件</w:t>
      </w:r>
      <w:r>
        <w:rPr>
          <w:rFonts w:hint="eastAsia" w:ascii="宋体" w:hAnsi="宋体" w:eastAsia="宋体"/>
          <w:sz w:val="24"/>
          <w:szCs w:val="24"/>
          <w:lang w:val="en-US" w:eastAsia="zh-CN"/>
        </w:rPr>
        <w:t>4</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各单位于</w:t>
      </w:r>
      <w:r>
        <w:rPr>
          <w:rFonts w:hint="eastAsia" w:ascii="宋体" w:hAnsi="宋体" w:eastAsia="宋体"/>
          <w:b/>
          <w:sz w:val="24"/>
          <w:szCs w:val="24"/>
          <w:u w:val="single"/>
        </w:rPr>
        <w:t>10</w:t>
      </w:r>
      <w:r>
        <w:rPr>
          <w:rFonts w:ascii="宋体" w:hAnsi="宋体" w:eastAsia="宋体"/>
          <w:b/>
          <w:sz w:val="24"/>
          <w:szCs w:val="24"/>
          <w:u w:val="single"/>
        </w:rPr>
        <w:t>月</w:t>
      </w:r>
      <w:r>
        <w:rPr>
          <w:rFonts w:hint="eastAsia" w:ascii="宋体" w:hAnsi="宋体" w:eastAsia="宋体"/>
          <w:b/>
          <w:sz w:val="24"/>
          <w:szCs w:val="24"/>
          <w:u w:val="single"/>
          <w:lang w:val="en-US" w:eastAsia="zh-CN"/>
        </w:rPr>
        <w:t>22</w:t>
      </w:r>
      <w:r>
        <w:rPr>
          <w:rFonts w:ascii="宋体" w:hAnsi="宋体" w:eastAsia="宋体"/>
          <w:b/>
          <w:sz w:val="24"/>
          <w:szCs w:val="24"/>
          <w:u w:val="single"/>
        </w:rPr>
        <w:t>日</w:t>
      </w:r>
      <w:r>
        <w:rPr>
          <w:rFonts w:ascii="宋体" w:hAnsi="宋体" w:eastAsia="宋体"/>
          <w:sz w:val="24"/>
          <w:szCs w:val="24"/>
        </w:rPr>
        <w:t>前报送</w:t>
      </w:r>
      <w:r>
        <w:rPr>
          <w:rFonts w:hint="eastAsia" w:ascii="宋体" w:hAnsi="宋体" w:eastAsia="宋体"/>
          <w:sz w:val="24"/>
          <w:szCs w:val="24"/>
        </w:rPr>
        <w:t>材料至</w:t>
      </w:r>
      <w:r>
        <w:rPr>
          <w:rFonts w:ascii="宋体" w:hAnsi="宋体" w:eastAsia="宋体"/>
          <w:sz w:val="24"/>
          <w:szCs w:val="24"/>
        </w:rPr>
        <w:t>教务处教研评估科，电子版发送至</w:t>
      </w:r>
      <w:r>
        <w:rPr>
          <w:rFonts w:hint="eastAsia" w:ascii="宋体" w:hAnsi="宋体" w:eastAsia="宋体"/>
          <w:color w:val="auto"/>
          <w:sz w:val="24"/>
          <w:szCs w:val="24"/>
        </w:rPr>
        <w:t>553755939</w:t>
      </w:r>
      <w:r>
        <w:rPr>
          <w:rFonts w:ascii="宋体" w:hAnsi="宋体" w:eastAsia="宋体"/>
          <w:color w:val="auto"/>
          <w:sz w:val="24"/>
          <w:szCs w:val="24"/>
        </w:rPr>
        <w:t xml:space="preserve"> @qq.com。 </w:t>
      </w:r>
    </w:p>
    <w:p>
      <w:pPr>
        <w:spacing w:line="360" w:lineRule="auto"/>
        <w:ind w:firstLine="480"/>
        <w:rPr>
          <w:rFonts w:ascii="宋体" w:hAnsi="宋体" w:eastAsia="宋体"/>
          <w:b/>
          <w:sz w:val="24"/>
          <w:szCs w:val="24"/>
        </w:rPr>
      </w:pPr>
      <w:r>
        <w:rPr>
          <w:rFonts w:hint="eastAsia" w:ascii="宋体" w:hAnsi="宋体" w:eastAsia="宋体"/>
          <w:b/>
          <w:sz w:val="24"/>
          <w:szCs w:val="24"/>
          <w:lang w:eastAsia="zh-CN"/>
        </w:rPr>
        <w:t>五</w:t>
      </w:r>
      <w:r>
        <w:rPr>
          <w:rFonts w:hint="eastAsia" w:ascii="宋体" w:hAnsi="宋体" w:eastAsia="宋体"/>
          <w:b/>
          <w:sz w:val="24"/>
          <w:szCs w:val="24"/>
        </w:rPr>
        <w:t>、其它</w:t>
      </w:r>
    </w:p>
    <w:p>
      <w:pPr>
        <w:spacing w:line="360" w:lineRule="auto"/>
        <w:ind w:firstLine="480"/>
        <w:rPr>
          <w:rFonts w:ascii="宋体" w:hAnsi="宋体" w:eastAsia="宋体"/>
          <w:sz w:val="24"/>
          <w:szCs w:val="24"/>
        </w:rPr>
      </w:pPr>
      <w:r>
        <w:rPr>
          <w:rFonts w:hint="eastAsia" w:ascii="宋体" w:hAnsi="宋体" w:eastAsia="宋体"/>
          <w:sz w:val="24"/>
          <w:szCs w:val="24"/>
        </w:rPr>
        <w:t>1.各单位应高度重视，精心组织，对本单位的申报材料进行严格审查，确保内容准确、真实，保证申报质量。省级一流课程项目申报将从校级一流课程项目中择优推荐。</w:t>
      </w:r>
    </w:p>
    <w:p>
      <w:pPr>
        <w:spacing w:line="360" w:lineRule="auto"/>
        <w:ind w:firstLine="480"/>
        <w:rPr>
          <w:rFonts w:hint="eastAsia" w:ascii="宋体" w:hAnsi="宋体" w:eastAsia="宋体"/>
          <w:sz w:val="24"/>
          <w:szCs w:val="24"/>
          <w:lang w:eastAsia="zh-CN"/>
        </w:rPr>
      </w:pPr>
      <w:r>
        <w:rPr>
          <w:rFonts w:hint="eastAsia" w:ascii="宋体" w:hAnsi="宋体" w:eastAsia="宋体"/>
          <w:sz w:val="24"/>
          <w:szCs w:val="24"/>
        </w:rPr>
        <w:t>2.为规范项目经费的使用，项目负责人按附件</w:t>
      </w:r>
      <w:r>
        <w:rPr>
          <w:rFonts w:hint="eastAsia" w:ascii="宋体" w:hAnsi="宋体" w:eastAsia="宋体"/>
          <w:sz w:val="24"/>
          <w:szCs w:val="24"/>
          <w:lang w:val="en-US" w:eastAsia="zh-CN"/>
        </w:rPr>
        <w:t>1</w:t>
      </w:r>
      <w:r>
        <w:rPr>
          <w:rFonts w:hint="eastAsia" w:ascii="宋体" w:hAnsi="宋体" w:eastAsia="宋体"/>
          <w:sz w:val="24"/>
          <w:szCs w:val="24"/>
        </w:rPr>
        <w:t>内项目经费资助标准做好经费预算，经费管理</w:t>
      </w:r>
      <w:r>
        <w:rPr>
          <w:rFonts w:hint="eastAsia" w:ascii="宋体" w:hAnsi="宋体" w:eastAsia="宋体"/>
          <w:sz w:val="24"/>
          <w:szCs w:val="24"/>
          <w:lang w:eastAsia="zh-CN"/>
        </w:rPr>
        <w:t>按《</w:t>
      </w:r>
      <w:r>
        <w:rPr>
          <w:rFonts w:hint="eastAsia" w:ascii="宋体" w:hAnsi="宋体" w:eastAsia="宋体"/>
          <w:sz w:val="24"/>
          <w:szCs w:val="24"/>
        </w:rPr>
        <w:t>本科教学质量与教学改革工程专项资金管理办法</w:t>
      </w:r>
      <w:r>
        <w:rPr>
          <w:rFonts w:hint="eastAsia" w:ascii="宋体" w:hAnsi="宋体" w:eastAsia="宋体"/>
          <w:sz w:val="24"/>
          <w:szCs w:val="24"/>
          <w:lang w:eastAsia="zh-CN"/>
        </w:rPr>
        <w:t>》（附件</w:t>
      </w:r>
      <w:r>
        <w:rPr>
          <w:rFonts w:hint="eastAsia" w:ascii="宋体" w:hAnsi="宋体" w:eastAsia="宋体"/>
          <w:sz w:val="24"/>
          <w:szCs w:val="24"/>
          <w:lang w:val="en-US" w:eastAsia="zh-CN"/>
        </w:rPr>
        <w:t>5</w:t>
      </w:r>
      <w:r>
        <w:rPr>
          <w:rFonts w:hint="eastAsia" w:ascii="宋体" w:hAnsi="宋体" w:eastAsia="宋体"/>
          <w:sz w:val="24"/>
          <w:szCs w:val="24"/>
          <w:lang w:eastAsia="zh-CN"/>
        </w:rPr>
        <w:t>）执行。</w:t>
      </w:r>
    </w:p>
    <w:p>
      <w:pPr>
        <w:spacing w:line="360" w:lineRule="auto"/>
        <w:ind w:firstLine="480"/>
        <w:rPr>
          <w:rFonts w:ascii="宋体" w:hAnsi="宋体" w:eastAsia="宋体"/>
          <w:sz w:val="24"/>
          <w:szCs w:val="24"/>
        </w:rPr>
      </w:pPr>
      <w:r>
        <w:rPr>
          <w:rFonts w:ascii="宋体" w:hAnsi="宋体" w:eastAsia="宋体"/>
          <w:sz w:val="24"/>
          <w:szCs w:val="24"/>
        </w:rPr>
        <w:t>本文</w:t>
      </w:r>
      <w:r>
        <w:rPr>
          <w:rFonts w:hint="eastAsia" w:ascii="宋体" w:hAnsi="宋体" w:eastAsia="宋体"/>
          <w:sz w:val="24"/>
          <w:szCs w:val="24"/>
          <w:lang w:eastAsia="zh-CN"/>
        </w:rPr>
        <w:t>附件</w:t>
      </w:r>
      <w:r>
        <w:rPr>
          <w:rFonts w:ascii="宋体" w:hAnsi="宋体" w:eastAsia="宋体"/>
          <w:sz w:val="24"/>
          <w:szCs w:val="24"/>
        </w:rPr>
        <w:t>不印发，请从教务处</w:t>
      </w:r>
      <w:r>
        <w:rPr>
          <w:rFonts w:hint="eastAsia" w:ascii="宋体" w:hAnsi="宋体" w:eastAsia="宋体"/>
          <w:sz w:val="24"/>
          <w:szCs w:val="24"/>
        </w:rPr>
        <w:t>网站</w:t>
      </w:r>
      <w:r>
        <w:rPr>
          <w:rFonts w:ascii="宋体" w:hAnsi="宋体" w:eastAsia="宋体"/>
          <w:sz w:val="24"/>
          <w:szCs w:val="24"/>
        </w:rPr>
        <w:t xml:space="preserve"> “通知公告”栏查阅、下载。</w:t>
      </w:r>
    </w:p>
    <w:p>
      <w:pPr>
        <w:spacing w:line="360" w:lineRule="auto"/>
        <w:ind w:firstLine="480"/>
        <w:rPr>
          <w:rFonts w:ascii="宋体" w:hAnsi="宋体" w:eastAsia="宋体"/>
          <w:sz w:val="24"/>
          <w:szCs w:val="24"/>
        </w:rPr>
      </w:pPr>
      <w:r>
        <w:rPr>
          <w:rFonts w:hint="eastAsia" w:ascii="宋体" w:hAnsi="宋体" w:eastAsia="宋体"/>
          <w:sz w:val="24"/>
          <w:szCs w:val="24"/>
        </w:rPr>
        <w:t>联系人：李捷</w:t>
      </w:r>
      <w:r>
        <w:rPr>
          <w:rFonts w:hint="eastAsia" w:ascii="宋体" w:hAnsi="宋体" w:eastAsia="宋体"/>
          <w:sz w:val="24"/>
          <w:szCs w:val="24"/>
          <w:lang w:eastAsia="zh-CN"/>
        </w:rPr>
        <w:t>、李森森</w:t>
      </w:r>
      <w:r>
        <w:rPr>
          <w:rFonts w:hint="eastAsia" w:ascii="宋体" w:hAnsi="宋体" w:eastAsia="宋体"/>
          <w:sz w:val="24"/>
          <w:szCs w:val="24"/>
        </w:rPr>
        <w:t xml:space="preserve">   联系电话：22245610</w:t>
      </w:r>
    </w:p>
    <w:p>
      <w:pPr>
        <w:spacing w:line="360" w:lineRule="auto"/>
        <w:rPr>
          <w:rFonts w:hint="eastAsia" w:ascii="宋体" w:hAnsi="宋体" w:eastAsia="宋体"/>
          <w:sz w:val="24"/>
          <w:szCs w:val="24"/>
        </w:rPr>
      </w:pPr>
    </w:p>
    <w:p>
      <w:pPr>
        <w:spacing w:line="360" w:lineRule="auto"/>
        <w:ind w:firstLine="480" w:firstLineChars="200"/>
        <w:rPr>
          <w:rFonts w:ascii="宋体" w:hAnsi="宋体" w:eastAsia="宋体"/>
          <w:sz w:val="24"/>
          <w:szCs w:val="24"/>
        </w:rPr>
      </w:pPr>
      <w:r>
        <w:rPr>
          <w:rFonts w:hint="eastAsia" w:ascii="宋体" w:hAnsi="宋体" w:eastAsia="宋体"/>
          <w:sz w:val="24"/>
          <w:szCs w:val="24"/>
        </w:rPr>
        <w:t>附件：</w:t>
      </w:r>
    </w:p>
    <w:p>
      <w:pPr>
        <w:spacing w:line="360" w:lineRule="auto"/>
        <w:ind w:firstLine="480"/>
        <w:rPr>
          <w:rFonts w:ascii="宋体" w:hAnsi="宋体" w:eastAsia="宋体"/>
          <w:sz w:val="24"/>
          <w:szCs w:val="24"/>
        </w:rPr>
      </w:pPr>
      <w:r>
        <w:rPr>
          <w:rFonts w:hint="eastAsia" w:ascii="宋体" w:hAnsi="宋体" w:eastAsia="宋体"/>
          <w:sz w:val="24"/>
          <w:szCs w:val="24"/>
        </w:rPr>
        <w:t>1. 2020年度校级一流课程拟立项数及资助金额</w:t>
      </w:r>
    </w:p>
    <w:p>
      <w:pPr>
        <w:spacing w:line="360" w:lineRule="auto"/>
        <w:ind w:firstLine="480"/>
        <w:rPr>
          <w:rFonts w:ascii="宋体" w:hAnsi="宋体" w:eastAsia="宋体"/>
          <w:sz w:val="24"/>
          <w:szCs w:val="24"/>
        </w:rPr>
      </w:pPr>
      <w:r>
        <w:rPr>
          <w:rFonts w:hint="eastAsia" w:ascii="宋体" w:hAnsi="宋体" w:eastAsia="宋体"/>
          <w:sz w:val="24"/>
          <w:szCs w:val="24"/>
        </w:rPr>
        <w:t>2. 广东外语外贸大学南国商学院一流课程建设实施方案</w:t>
      </w:r>
    </w:p>
    <w:p>
      <w:pPr>
        <w:spacing w:line="360" w:lineRule="auto"/>
        <w:ind w:firstLine="480"/>
        <w:rPr>
          <w:rFonts w:ascii="宋体" w:hAnsi="宋体" w:eastAsia="宋体"/>
          <w:sz w:val="24"/>
          <w:szCs w:val="24"/>
        </w:rPr>
      </w:pPr>
      <w:r>
        <w:rPr>
          <w:rFonts w:hint="eastAsia" w:ascii="宋体" w:hAnsi="宋体" w:eastAsia="宋体"/>
          <w:sz w:val="24"/>
          <w:szCs w:val="24"/>
        </w:rPr>
        <w:t>3. 广东外语外贸大学南国商学院一流课程申报书</w:t>
      </w:r>
    </w:p>
    <w:p>
      <w:pPr>
        <w:spacing w:line="360" w:lineRule="auto"/>
        <w:ind w:firstLine="480"/>
        <w:rPr>
          <w:rFonts w:ascii="宋体" w:hAnsi="宋体" w:eastAsia="宋体"/>
          <w:sz w:val="24"/>
          <w:szCs w:val="24"/>
        </w:rPr>
      </w:pPr>
      <w:r>
        <w:rPr>
          <w:rFonts w:hint="eastAsia" w:ascii="宋体" w:hAnsi="宋体" w:eastAsia="宋体"/>
          <w:sz w:val="24"/>
          <w:szCs w:val="24"/>
        </w:rPr>
        <w:t xml:space="preserve">4. </w:t>
      </w:r>
      <w:r>
        <w:rPr>
          <w:rFonts w:ascii="宋体" w:hAnsi="宋体" w:eastAsia="宋体"/>
          <w:sz w:val="24"/>
          <w:szCs w:val="24"/>
        </w:rPr>
        <w:t>2020年度校级一流课程推荐汇总表</w:t>
      </w:r>
    </w:p>
    <w:p>
      <w:pPr>
        <w:spacing w:line="360" w:lineRule="auto"/>
        <w:ind w:firstLine="480"/>
        <w:rPr>
          <w:rFonts w:hint="eastAsia"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rPr>
        <w:t>. 本科教学质量与教学改革工程专项资金管理办法</w:t>
      </w:r>
    </w:p>
    <w:p>
      <w:pPr>
        <w:spacing w:line="360" w:lineRule="auto"/>
        <w:ind w:firstLine="480"/>
        <w:rPr>
          <w:rFonts w:hint="eastAsia" w:ascii="宋体" w:hAnsi="宋体" w:eastAsia="宋体"/>
          <w:sz w:val="24"/>
          <w:szCs w:val="24"/>
        </w:rPr>
      </w:pPr>
      <w:bookmarkStart w:id="0" w:name="_GoBack"/>
      <w:bookmarkEnd w:id="0"/>
    </w:p>
    <w:p>
      <w:pPr>
        <w:spacing w:line="360" w:lineRule="auto"/>
        <w:ind w:firstLine="4080" w:firstLineChars="1700"/>
        <w:rPr>
          <w:rFonts w:ascii="宋体" w:hAnsi="宋体" w:eastAsia="宋体"/>
          <w:sz w:val="24"/>
          <w:szCs w:val="24"/>
        </w:rPr>
      </w:pPr>
      <w:r>
        <w:rPr>
          <w:rFonts w:hint="eastAsia" w:ascii="宋体" w:hAnsi="宋体" w:eastAsia="宋体"/>
          <w:sz w:val="24"/>
          <w:szCs w:val="24"/>
        </w:rPr>
        <w:t>广东外语外贸大学南国商学院</w:t>
      </w:r>
      <w:r>
        <w:rPr>
          <w:rFonts w:ascii="宋体" w:hAnsi="宋体" w:eastAsia="宋体"/>
          <w:sz w:val="24"/>
          <w:szCs w:val="24"/>
        </w:rPr>
        <w:t xml:space="preserve"> 教务处</w:t>
      </w:r>
    </w:p>
    <w:p>
      <w:pPr>
        <w:spacing w:line="360" w:lineRule="auto"/>
        <w:ind w:firstLine="480"/>
        <w:rPr>
          <w:rFonts w:ascii="宋体" w:hAnsi="宋体" w:eastAsia="宋体"/>
          <w:sz w:val="24"/>
          <w:szCs w:val="24"/>
        </w:rPr>
      </w:pPr>
      <w:r>
        <w:rPr>
          <w:rFonts w:ascii="宋体" w:hAnsi="宋体" w:eastAsia="宋体"/>
          <w:sz w:val="24"/>
          <w:szCs w:val="24"/>
        </w:rPr>
        <w:t xml:space="preserve">                                        2020年</w:t>
      </w:r>
      <w:r>
        <w:rPr>
          <w:rFonts w:hint="eastAsia" w:ascii="宋体" w:hAnsi="宋体" w:eastAsia="宋体"/>
          <w:sz w:val="24"/>
          <w:szCs w:val="24"/>
        </w:rPr>
        <w:t>9</w:t>
      </w:r>
      <w:r>
        <w:rPr>
          <w:rFonts w:ascii="宋体" w:hAnsi="宋体" w:eastAsia="宋体"/>
          <w:sz w:val="24"/>
          <w:szCs w:val="24"/>
        </w:rPr>
        <w:t>月</w:t>
      </w:r>
      <w:r>
        <w:rPr>
          <w:rFonts w:hint="eastAsia" w:ascii="宋体" w:hAnsi="宋体" w:eastAsia="宋体"/>
          <w:sz w:val="24"/>
          <w:szCs w:val="24"/>
          <w:lang w:val="en-US" w:eastAsia="zh-CN"/>
        </w:rPr>
        <w:t>22</w:t>
      </w:r>
      <w:r>
        <w:rPr>
          <w:rFonts w:ascii="宋体" w:hAnsi="宋体" w:eastAsia="宋体"/>
          <w:sz w:val="24"/>
          <w:szCs w:val="24"/>
        </w:rPr>
        <w:t>日</w:t>
      </w:r>
    </w:p>
    <w:sectPr>
      <w:footerReference r:id="rId3" w:type="default"/>
      <w:pgSz w:w="11906" w:h="16838"/>
      <w:pgMar w:top="1440" w:right="1800" w:bottom="1118"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E6096"/>
    <w:rsid w:val="0009237E"/>
    <w:rsid w:val="000E5578"/>
    <w:rsid w:val="00120353"/>
    <w:rsid w:val="001869FD"/>
    <w:rsid w:val="001E2E4F"/>
    <w:rsid w:val="001F17C6"/>
    <w:rsid w:val="001F3CBF"/>
    <w:rsid w:val="001F6E36"/>
    <w:rsid w:val="0023170F"/>
    <w:rsid w:val="0027452D"/>
    <w:rsid w:val="002922CA"/>
    <w:rsid w:val="002C1610"/>
    <w:rsid w:val="002E1BDE"/>
    <w:rsid w:val="002F2634"/>
    <w:rsid w:val="003079B7"/>
    <w:rsid w:val="0036296D"/>
    <w:rsid w:val="00384847"/>
    <w:rsid w:val="003F0091"/>
    <w:rsid w:val="00434793"/>
    <w:rsid w:val="0043600B"/>
    <w:rsid w:val="00436BBE"/>
    <w:rsid w:val="00460185"/>
    <w:rsid w:val="004E5FFE"/>
    <w:rsid w:val="00575F84"/>
    <w:rsid w:val="005802C5"/>
    <w:rsid w:val="005838B5"/>
    <w:rsid w:val="005977B7"/>
    <w:rsid w:val="005C7721"/>
    <w:rsid w:val="00644B07"/>
    <w:rsid w:val="00660B86"/>
    <w:rsid w:val="006714F2"/>
    <w:rsid w:val="006D466A"/>
    <w:rsid w:val="007219F2"/>
    <w:rsid w:val="00721E4B"/>
    <w:rsid w:val="00734B66"/>
    <w:rsid w:val="007832EF"/>
    <w:rsid w:val="007A02B0"/>
    <w:rsid w:val="00811E96"/>
    <w:rsid w:val="008251F1"/>
    <w:rsid w:val="008431FA"/>
    <w:rsid w:val="00845933"/>
    <w:rsid w:val="00876B4B"/>
    <w:rsid w:val="008814E6"/>
    <w:rsid w:val="008840E6"/>
    <w:rsid w:val="008A398C"/>
    <w:rsid w:val="008B0765"/>
    <w:rsid w:val="008B15B2"/>
    <w:rsid w:val="008E15C3"/>
    <w:rsid w:val="008F0DF0"/>
    <w:rsid w:val="008F67FB"/>
    <w:rsid w:val="009070A1"/>
    <w:rsid w:val="00933CE8"/>
    <w:rsid w:val="00934927"/>
    <w:rsid w:val="009B1887"/>
    <w:rsid w:val="009C2143"/>
    <w:rsid w:val="009D778C"/>
    <w:rsid w:val="00A02966"/>
    <w:rsid w:val="00A579C5"/>
    <w:rsid w:val="00A80ED4"/>
    <w:rsid w:val="00A91465"/>
    <w:rsid w:val="00AC0339"/>
    <w:rsid w:val="00AE10BA"/>
    <w:rsid w:val="00B0155C"/>
    <w:rsid w:val="00B71D02"/>
    <w:rsid w:val="00BD47A4"/>
    <w:rsid w:val="00C17413"/>
    <w:rsid w:val="00C23086"/>
    <w:rsid w:val="00C312C8"/>
    <w:rsid w:val="00C73C70"/>
    <w:rsid w:val="00C83379"/>
    <w:rsid w:val="00C9119A"/>
    <w:rsid w:val="00CD3B2D"/>
    <w:rsid w:val="00D038CF"/>
    <w:rsid w:val="00D431C4"/>
    <w:rsid w:val="00DD2603"/>
    <w:rsid w:val="00DE6096"/>
    <w:rsid w:val="00E22080"/>
    <w:rsid w:val="00E42630"/>
    <w:rsid w:val="00EE423D"/>
    <w:rsid w:val="00EE6F46"/>
    <w:rsid w:val="00F4434F"/>
    <w:rsid w:val="055A343B"/>
    <w:rsid w:val="05961629"/>
    <w:rsid w:val="0CA93750"/>
    <w:rsid w:val="2517153D"/>
    <w:rsid w:val="32F12D59"/>
    <w:rsid w:val="4058415F"/>
    <w:rsid w:val="4A3678CE"/>
    <w:rsid w:val="4F730F7C"/>
    <w:rsid w:val="56923EC4"/>
    <w:rsid w:val="61B03C56"/>
    <w:rsid w:val="6AEC6A2F"/>
    <w:rsid w:val="7E5D2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eastAsia="宋体" w:cs="Times New Roman"/>
      <w:kern w:val="0"/>
      <w:sz w:val="24"/>
      <w:szCs w:val="24"/>
    </w:rPr>
  </w:style>
  <w:style w:type="character" w:styleId="7">
    <w:name w:val="FollowedHyperlink"/>
    <w:unhideWhenUsed/>
    <w:qFormat/>
    <w:uiPriority w:val="99"/>
    <w:rPr>
      <w:color w:val="800080"/>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232</Words>
  <Characters>1328</Characters>
  <Lines>11</Lines>
  <Paragraphs>3</Paragraphs>
  <TotalTime>2</TotalTime>
  <ScaleCrop>false</ScaleCrop>
  <LinksUpToDate>false</LinksUpToDate>
  <CharactersWithSpaces>1557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2020-06-09T01:42:00Z</dcterms:created>
  <dc:creator>780604895@qq.com</dc:creator>
  <cp:lastModifiedBy>Administrator</cp:lastModifiedBy>
  <cp:lastPrinted>2020-09-15T02:53:00Z</cp:lastPrinted>
  <dcterms:modified xsi:type="dcterms:W3CDTF">2020-09-23T08:25:17Z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