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84"/>
        </w:tabs>
        <w:spacing w:line="480" w:lineRule="exact"/>
        <w:jc w:val="center"/>
        <w:rPr>
          <w:rFonts w:hint="eastAsia"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期末考试成绩登记表整理要求</w:t>
      </w:r>
    </w:p>
    <w:bookmarkEnd w:id="0"/>
    <w:p>
      <w:pPr>
        <w:widowControl/>
        <w:spacing w:line="460" w:lineRule="exact"/>
        <w:jc w:val="center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根据档案保存的要求，期末考试各科成绩登记表整理要求如下：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1.以年级、专业、班级为单位进行分类整理；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2.每张成绩登记表中下角按顺序编上页码；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3.每册成绩登记表有目录，目录内容包括：序号、内容、页码；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4.成绩登记表可分几册进行装订，分册装订的要在封面上注明（一）、（二）、（三）等；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5.成绩登记表的封面内容要求：学院名称、学年学期、学院；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6.成绩登记表的整理顺序：封面、目录、成绩单。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A5B5D"/>
    <w:rsid w:val="382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2019-11-18T02:49:00Z</dcterms:created>
  <dc:creator>18826451075</dc:creator>
  <cp:lastModifiedBy>18826451075</cp:lastModifiedBy>
  <dcterms:modified xsi:type="dcterms:W3CDTF">2019-11-18T02:49:23Z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