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5"/>
        <w:ind w:left="109"/>
        <w:rPr>
          <w:rFonts w:ascii="华文楷体" w:hAnsi="华文楷体" w:eastAsia="华文楷体"/>
          <w:b/>
          <w:sz w:val="30"/>
          <w:szCs w:val="30"/>
        </w:rPr>
      </w:pPr>
      <w:r>
        <w:t xml:space="preserve">附件 </w:t>
      </w:r>
      <w:r>
        <w:rPr>
          <w:rFonts w:hint="eastAsia"/>
          <w:lang w:val="en-US" w:eastAsia="zh-CN"/>
        </w:rPr>
        <w:t>4</w:t>
      </w:r>
      <w:r>
        <w:t>：</w:t>
      </w:r>
    </w:p>
    <w:p>
      <w:pPr>
        <w:spacing w:line="360" w:lineRule="auto"/>
        <w:rPr>
          <w:rFonts w:hint="eastAsia" w:ascii="宋体" w:hAnsi="宋体" w:eastAsia="宋体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课堂教学设计要求：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新宋体" w:hAnsi="新宋体" w:eastAsia="新宋体" w:cs="新宋体"/>
          <w:sz w:val="36"/>
          <w:szCs w:val="36"/>
        </w:rPr>
      </w:pPr>
      <w:r>
        <w:rPr>
          <w:rFonts w:hint="eastAsia" w:ascii="新宋体" w:hAnsi="新宋体" w:eastAsia="新宋体" w:cs="新宋体"/>
          <w:sz w:val="28"/>
          <w:szCs w:val="28"/>
        </w:rPr>
        <w:t>以一个学时为基本单位，对参赛课程2个学时（校内选拔，省赛网络评选要求10个学时）的教学活动设想与安排。主要包括课程名称、学情分析、教学目标、教学思想、课程资源、教学内容、教学重点与难点、教学方法与工具、教学安排、教学评价、预习任务和课后作业等</w:t>
      </w:r>
      <w:r>
        <w:rPr>
          <w:rFonts w:hint="eastAsia" w:ascii="新宋体" w:hAnsi="新宋体" w:eastAsia="新宋体" w:cs="新宋体"/>
          <w:sz w:val="36"/>
          <w:szCs w:val="36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正文一级标题用3号黑体加粗，二级标题用4号黑体加粗，三级标题用小4号黑体加粗。正文内容用小4号宋体，1.5倍行距。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）</w:t>
      </w:r>
    </w:p>
    <w:p>
      <w:pPr>
        <w:spacing w:line="200" w:lineRule="exact"/>
        <w:rPr>
          <w:rFonts w:ascii="华文楷体" w:hAnsi="华文楷体" w:eastAsia="华文楷体"/>
          <w:sz w:val="32"/>
          <w:szCs w:val="32"/>
        </w:rPr>
      </w:pPr>
    </w:p>
    <w:p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2000885</wp:posOffset>
            </wp:positionH>
            <wp:positionV relativeFrom="paragraph">
              <wp:posOffset>228600</wp:posOffset>
            </wp:positionV>
            <wp:extent cx="1828165" cy="2406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240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sz w:val="24"/>
          <w:szCs w:val="24"/>
        </w:rPr>
      </w:pPr>
    </w:p>
    <w:p>
      <w:pPr>
        <w:tabs>
          <w:tab w:val="left" w:pos="5580"/>
        </w:tabs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spacing w:line="389" w:lineRule="exact"/>
        <w:rPr>
          <w:sz w:val="24"/>
          <w:szCs w:val="24"/>
        </w:rPr>
      </w:pPr>
      <w:bookmarkStart w:id="0" w:name="_GoBack"/>
      <w:bookmarkEnd w:id="0"/>
    </w:p>
    <w:p>
      <w:pPr>
        <w:spacing w:line="365" w:lineRule="exact"/>
        <w:ind w:left="3480"/>
        <w:rPr>
          <w:sz w:val="20"/>
          <w:szCs w:val="20"/>
        </w:rPr>
      </w:pPr>
      <w:r>
        <w:rPr>
          <w:rFonts w:ascii="MS PGothic" w:hAnsi="MS PGothic" w:eastAsia="MS PGothic" w:cs="MS PGothic"/>
          <w:sz w:val="32"/>
          <w:szCs w:val="32"/>
        </w:rPr>
        <w:t>（</w:t>
      </w:r>
      <w:r>
        <w:rPr>
          <w:rFonts w:ascii="宋体" w:hAnsi="宋体" w:eastAsia="宋体" w:cs="宋体"/>
          <w:sz w:val="32"/>
          <w:szCs w:val="32"/>
        </w:rPr>
        <w:t>仅供参考</w:t>
      </w:r>
      <w:r>
        <w:rPr>
          <w:rFonts w:ascii="MS PGothic" w:hAnsi="MS PGothic" w:eastAsia="MS PGothic" w:cs="MS PGothic"/>
          <w:sz w:val="32"/>
          <w:szCs w:val="32"/>
        </w:rPr>
        <w:t>）</w:t>
      </w: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44" w:lineRule="exact"/>
        <w:rPr>
          <w:sz w:val="24"/>
          <w:szCs w:val="24"/>
        </w:rPr>
      </w:pPr>
    </w:p>
    <w:p>
      <w:pPr>
        <w:spacing w:line="327" w:lineRule="exact"/>
        <w:ind w:left="560"/>
        <w:rPr>
          <w:sz w:val="20"/>
          <w:szCs w:val="20"/>
        </w:rPr>
      </w:pPr>
      <w:r>
        <w:rPr>
          <w:rFonts w:ascii="宋体" w:hAnsi="宋体" w:eastAsia="宋体" w:cs="宋体"/>
          <w:sz w:val="27"/>
          <w:szCs w:val="27"/>
        </w:rPr>
        <w:t xml:space="preserve">《教育心理学》教学大纲中基本教学内容共 </w:t>
      </w:r>
      <w:r>
        <w:rPr>
          <w:rFonts w:ascii="Arial" w:hAnsi="Arial" w:eastAsia="Arial" w:cs="Arial"/>
          <w:sz w:val="27"/>
          <w:szCs w:val="27"/>
        </w:rPr>
        <w:t>25</w:t>
      </w:r>
      <w:r>
        <w:rPr>
          <w:rFonts w:ascii="宋体" w:hAnsi="宋体" w:eastAsia="宋体" w:cs="宋体"/>
          <w:sz w:val="27"/>
          <w:szCs w:val="27"/>
        </w:rPr>
        <w:t xml:space="preserve"> 章</w:t>
      </w:r>
      <w:r>
        <w:rPr>
          <w:rFonts w:ascii="MS PGothic" w:hAnsi="MS PGothic" w:eastAsia="MS PGothic" w:cs="MS PGothic"/>
          <w:sz w:val="27"/>
          <w:szCs w:val="27"/>
        </w:rPr>
        <w:t>，</w:t>
      </w:r>
      <w:r>
        <w:rPr>
          <w:rFonts w:ascii="宋体" w:hAnsi="宋体" w:eastAsia="宋体" w:cs="宋体"/>
          <w:sz w:val="27"/>
          <w:szCs w:val="27"/>
        </w:rPr>
        <w:t>此次教学设计的</w:t>
      </w:r>
    </w:p>
    <w:p>
      <w:pPr>
        <w:spacing w:line="40" w:lineRule="exact"/>
        <w:rPr>
          <w:sz w:val="24"/>
          <w:szCs w:val="24"/>
        </w:rPr>
      </w:pPr>
    </w:p>
    <w:p>
      <w:pPr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 xml:space="preserve">10 </w:t>
      </w:r>
      <w:r>
        <w:rPr>
          <w:rFonts w:ascii="宋体" w:hAnsi="宋体" w:eastAsia="宋体" w:cs="宋体"/>
          <w:sz w:val="28"/>
          <w:szCs w:val="28"/>
        </w:rPr>
        <w:t>个节段选自第</w:t>
      </w:r>
      <w:r>
        <w:rPr>
          <w:rFonts w:ascii="Arial" w:hAnsi="Arial" w:eastAsia="Arial" w:cs="Arial"/>
          <w:sz w:val="28"/>
          <w:szCs w:val="28"/>
        </w:rPr>
        <w:t xml:space="preserve"> 5</w:t>
      </w:r>
      <w:r>
        <w:rPr>
          <w:rFonts w:ascii="宋体" w:hAnsi="宋体" w:eastAsia="宋体" w:cs="宋体"/>
          <w:sz w:val="28"/>
          <w:szCs w:val="28"/>
        </w:rPr>
        <w:t>、</w:t>
      </w:r>
      <w:r>
        <w:rPr>
          <w:rFonts w:ascii="Arial" w:hAnsi="Arial" w:eastAsia="Arial" w:cs="Arial"/>
          <w:sz w:val="28"/>
          <w:szCs w:val="28"/>
        </w:rPr>
        <w:t>6</w:t>
      </w:r>
      <w:r>
        <w:rPr>
          <w:rFonts w:ascii="宋体" w:hAnsi="宋体" w:eastAsia="宋体" w:cs="宋体"/>
          <w:sz w:val="28"/>
          <w:szCs w:val="28"/>
        </w:rPr>
        <w:t>、</w:t>
      </w:r>
      <w:r>
        <w:rPr>
          <w:rFonts w:ascii="Arial" w:hAnsi="Arial" w:eastAsia="Arial" w:cs="Arial"/>
          <w:sz w:val="28"/>
          <w:szCs w:val="28"/>
        </w:rPr>
        <w:t>7</w:t>
      </w:r>
      <w:r>
        <w:rPr>
          <w:rFonts w:ascii="宋体" w:hAnsi="宋体" w:eastAsia="宋体" w:cs="宋体"/>
          <w:sz w:val="28"/>
          <w:szCs w:val="28"/>
        </w:rPr>
        <w:t>、</w:t>
      </w:r>
      <w:r>
        <w:rPr>
          <w:rFonts w:ascii="Arial" w:hAnsi="Arial" w:eastAsia="Arial" w:cs="Arial"/>
          <w:sz w:val="28"/>
          <w:szCs w:val="28"/>
        </w:rPr>
        <w:t>8</w:t>
      </w:r>
      <w:r>
        <w:rPr>
          <w:rFonts w:ascii="宋体" w:hAnsi="宋体" w:eastAsia="宋体" w:cs="宋体"/>
          <w:sz w:val="28"/>
          <w:szCs w:val="28"/>
        </w:rPr>
        <w:t>、</w:t>
      </w:r>
      <w:r>
        <w:rPr>
          <w:rFonts w:ascii="Arial" w:hAnsi="Arial" w:eastAsia="Arial" w:cs="Arial"/>
          <w:sz w:val="28"/>
          <w:szCs w:val="28"/>
        </w:rPr>
        <w:t xml:space="preserve">9 </w:t>
      </w:r>
      <w:r>
        <w:rPr>
          <w:rFonts w:ascii="宋体" w:hAnsi="宋体" w:eastAsia="宋体" w:cs="宋体"/>
          <w:sz w:val="28"/>
          <w:szCs w:val="28"/>
        </w:rPr>
        <w:t>和</w:t>
      </w:r>
      <w:r>
        <w:rPr>
          <w:rFonts w:ascii="Arial" w:hAnsi="Arial" w:eastAsia="Arial" w:cs="Arial"/>
          <w:sz w:val="28"/>
          <w:szCs w:val="28"/>
        </w:rPr>
        <w:t xml:space="preserve"> 10 </w:t>
      </w:r>
      <w:r>
        <w:rPr>
          <w:rFonts w:ascii="宋体" w:hAnsi="宋体" w:eastAsia="宋体" w:cs="宋体"/>
          <w:sz w:val="28"/>
          <w:szCs w:val="28"/>
        </w:rPr>
        <w:t>章。</w:t>
      </w:r>
    </w:p>
    <w:p>
      <w:pPr>
        <w:spacing w:line="42" w:lineRule="exact"/>
        <w:rPr>
          <w:sz w:val="24"/>
          <w:szCs w:val="24"/>
        </w:rPr>
      </w:pPr>
    </w:p>
    <w:p>
      <w:pPr>
        <w:tabs>
          <w:tab w:val="left" w:leader="dot" w:pos="8380"/>
        </w:tabs>
        <w:spacing w:line="239" w:lineRule="auto"/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>1.</w:t>
      </w:r>
      <w:r>
        <w:rPr>
          <w:rFonts w:ascii="宋体" w:hAnsi="宋体" w:eastAsia="宋体" w:cs="宋体"/>
          <w:sz w:val="28"/>
          <w:szCs w:val="28"/>
        </w:rPr>
        <w:t>斯金纳的经典实验及行为分类</w:t>
      </w:r>
      <w:r>
        <w:rPr>
          <w:sz w:val="20"/>
          <w:szCs w:val="20"/>
        </w:rPr>
        <w:tab/>
      </w:r>
      <w:r>
        <w:rPr>
          <w:rFonts w:ascii="Arial" w:hAnsi="Arial" w:eastAsia="Arial" w:cs="Arial"/>
          <w:sz w:val="25"/>
          <w:szCs w:val="25"/>
        </w:rPr>
        <w:t>1</w:t>
      </w:r>
    </w:p>
    <w:p>
      <w:pPr>
        <w:spacing w:line="40" w:lineRule="exact"/>
        <w:rPr>
          <w:sz w:val="24"/>
          <w:szCs w:val="24"/>
        </w:rPr>
      </w:pPr>
    </w:p>
    <w:p>
      <w:pPr>
        <w:spacing w:line="339" w:lineRule="exact"/>
        <w:ind w:left="320"/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选自第五章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学习的联结理论</w:t>
      </w:r>
      <w:r>
        <w:rPr>
          <w:rFonts w:ascii="Arial" w:hAnsi="Arial" w:eastAsia="Arial" w:cs="Arial"/>
          <w:sz w:val="28"/>
          <w:szCs w:val="28"/>
        </w:rPr>
        <w:t>/</w:t>
      </w:r>
      <w:r>
        <w:rPr>
          <w:rFonts w:ascii="宋体" w:hAnsi="宋体" w:eastAsia="宋体" w:cs="宋体"/>
          <w:sz w:val="28"/>
          <w:szCs w:val="28"/>
        </w:rPr>
        <w:t>第六节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斯金纳的操作性条件作用说</w:t>
      </w:r>
    </w:p>
    <w:p>
      <w:pPr>
        <w:spacing w:line="40" w:lineRule="exact"/>
        <w:rPr>
          <w:sz w:val="24"/>
          <w:szCs w:val="24"/>
        </w:rPr>
      </w:pPr>
    </w:p>
    <w:p>
      <w:pPr>
        <w:tabs>
          <w:tab w:val="left" w:leader="dot" w:pos="8380"/>
        </w:tabs>
        <w:spacing w:line="239" w:lineRule="auto"/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>2.</w:t>
      </w:r>
      <w:r>
        <w:rPr>
          <w:rFonts w:ascii="宋体" w:hAnsi="宋体" w:eastAsia="宋体" w:cs="宋体"/>
          <w:sz w:val="28"/>
          <w:szCs w:val="28"/>
        </w:rPr>
        <w:t>格式塔学派的经典实验</w:t>
      </w:r>
      <w:r>
        <w:rPr>
          <w:sz w:val="20"/>
          <w:szCs w:val="20"/>
        </w:rPr>
        <w:tab/>
      </w:r>
      <w:r>
        <w:rPr>
          <w:rFonts w:ascii="Arial" w:hAnsi="Arial" w:eastAsia="Arial" w:cs="Arial"/>
          <w:sz w:val="25"/>
          <w:szCs w:val="25"/>
        </w:rPr>
        <w:t>4</w:t>
      </w:r>
    </w:p>
    <w:p>
      <w:pPr>
        <w:spacing w:line="42" w:lineRule="exact"/>
        <w:rPr>
          <w:sz w:val="24"/>
          <w:szCs w:val="24"/>
        </w:rPr>
      </w:pPr>
    </w:p>
    <w:p>
      <w:pPr>
        <w:spacing w:line="338" w:lineRule="exact"/>
        <w:ind w:left="300"/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选自第六章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学习的认知理论</w:t>
      </w:r>
      <w:r>
        <w:rPr>
          <w:rFonts w:ascii="Arial" w:hAnsi="Arial" w:eastAsia="Arial" w:cs="Arial"/>
          <w:sz w:val="28"/>
          <w:szCs w:val="28"/>
        </w:rPr>
        <w:t>/</w:t>
      </w:r>
      <w:r>
        <w:rPr>
          <w:rFonts w:ascii="宋体" w:hAnsi="宋体" w:eastAsia="宋体" w:cs="宋体"/>
          <w:sz w:val="28"/>
          <w:szCs w:val="28"/>
        </w:rPr>
        <w:t>第一节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格式塔学派的完形</w:t>
      </w:r>
      <w:r>
        <w:rPr>
          <w:rFonts w:ascii="MS PGothic" w:hAnsi="MS PGothic" w:eastAsia="MS PGothic" w:cs="MS PGothic"/>
          <w:sz w:val="28"/>
          <w:szCs w:val="28"/>
        </w:rPr>
        <w:t>——</w:t>
      </w:r>
      <w:r>
        <w:rPr>
          <w:rFonts w:ascii="宋体" w:hAnsi="宋体" w:eastAsia="宋体" w:cs="宋体"/>
          <w:sz w:val="28"/>
          <w:szCs w:val="28"/>
        </w:rPr>
        <w:t>顿悟说</w:t>
      </w:r>
    </w:p>
    <w:p>
      <w:pPr>
        <w:spacing w:line="41" w:lineRule="exact"/>
        <w:rPr>
          <w:sz w:val="24"/>
          <w:szCs w:val="24"/>
        </w:rPr>
      </w:pPr>
    </w:p>
    <w:p>
      <w:pPr>
        <w:tabs>
          <w:tab w:val="left" w:leader="dot" w:pos="8380"/>
        </w:tabs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>3.</w:t>
      </w:r>
      <w:r>
        <w:rPr>
          <w:rFonts w:ascii="宋体" w:hAnsi="宋体" w:eastAsia="宋体" w:cs="宋体"/>
          <w:sz w:val="28"/>
          <w:szCs w:val="28"/>
        </w:rPr>
        <w:t>学习的信息加工模式</w:t>
      </w:r>
      <w:r>
        <w:rPr>
          <w:sz w:val="20"/>
          <w:szCs w:val="20"/>
        </w:rPr>
        <w:tab/>
      </w:r>
      <w:r>
        <w:rPr>
          <w:rFonts w:ascii="Arial" w:hAnsi="Arial" w:eastAsia="Arial" w:cs="Arial"/>
          <w:sz w:val="25"/>
          <w:szCs w:val="25"/>
        </w:rPr>
        <w:t>8</w:t>
      </w:r>
    </w:p>
    <w:p>
      <w:pPr>
        <w:spacing w:line="40" w:lineRule="exact"/>
        <w:rPr>
          <w:sz w:val="24"/>
          <w:szCs w:val="24"/>
        </w:rPr>
      </w:pPr>
    </w:p>
    <w:p>
      <w:pPr>
        <w:spacing w:line="339" w:lineRule="exact"/>
        <w:ind w:left="300"/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选自第七章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学习的联结</w:t>
      </w:r>
      <w:r>
        <w:rPr>
          <w:rFonts w:ascii="MS PGothic" w:hAnsi="MS PGothic" w:eastAsia="MS PGothic" w:cs="MS PGothic"/>
          <w:sz w:val="28"/>
          <w:szCs w:val="28"/>
        </w:rPr>
        <w:t>——</w:t>
      </w:r>
      <w:r>
        <w:rPr>
          <w:rFonts w:ascii="宋体" w:hAnsi="宋体" w:eastAsia="宋体" w:cs="宋体"/>
          <w:sz w:val="28"/>
          <w:szCs w:val="28"/>
        </w:rPr>
        <w:t>认知理论</w:t>
      </w:r>
      <w:r>
        <w:rPr>
          <w:rFonts w:ascii="Arial" w:hAnsi="Arial" w:eastAsia="Arial" w:cs="Arial"/>
          <w:sz w:val="28"/>
          <w:szCs w:val="28"/>
        </w:rPr>
        <w:t>/</w:t>
      </w:r>
      <w:r>
        <w:rPr>
          <w:rFonts w:ascii="宋体" w:hAnsi="宋体" w:eastAsia="宋体" w:cs="宋体"/>
          <w:sz w:val="28"/>
          <w:szCs w:val="28"/>
        </w:rPr>
        <w:t>第二节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加涅的信息加工学习</w:t>
      </w:r>
    </w:p>
    <w:p>
      <w:pPr>
        <w:spacing w:line="62" w:lineRule="exact"/>
        <w:rPr>
          <w:sz w:val="24"/>
          <w:szCs w:val="24"/>
        </w:rPr>
      </w:pPr>
    </w:p>
    <w:p>
      <w:pPr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理论</w:t>
      </w:r>
    </w:p>
    <w:p>
      <w:pPr>
        <w:spacing w:line="40" w:lineRule="exact"/>
        <w:rPr>
          <w:sz w:val="24"/>
          <w:szCs w:val="24"/>
        </w:rPr>
      </w:pPr>
    </w:p>
    <w:p>
      <w:pPr>
        <w:tabs>
          <w:tab w:val="left" w:leader="dot" w:pos="8240"/>
        </w:tabs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>4.</w:t>
      </w:r>
      <w:r>
        <w:rPr>
          <w:rFonts w:ascii="宋体" w:hAnsi="宋体" w:eastAsia="宋体" w:cs="宋体"/>
          <w:sz w:val="28"/>
          <w:szCs w:val="28"/>
        </w:rPr>
        <w:t>班杜拉的经典实验</w:t>
      </w:r>
      <w:r>
        <w:rPr>
          <w:sz w:val="20"/>
          <w:szCs w:val="20"/>
        </w:rPr>
        <w:tab/>
      </w:r>
      <w:r>
        <w:rPr>
          <w:rFonts w:ascii="Arial" w:hAnsi="Arial" w:eastAsia="Arial" w:cs="Arial"/>
          <w:sz w:val="25"/>
          <w:szCs w:val="25"/>
        </w:rPr>
        <w:t>12</w:t>
      </w:r>
    </w:p>
    <w:p>
      <w:pPr>
        <w:spacing w:line="40" w:lineRule="exact"/>
        <w:rPr>
          <w:sz w:val="24"/>
          <w:szCs w:val="24"/>
        </w:rPr>
      </w:pPr>
    </w:p>
    <w:p>
      <w:pPr>
        <w:spacing w:line="338" w:lineRule="exact"/>
        <w:ind w:left="300"/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选自第七章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学习的联结</w:t>
      </w:r>
      <w:r>
        <w:rPr>
          <w:rFonts w:ascii="MS PGothic" w:hAnsi="MS PGothic" w:eastAsia="MS PGothic" w:cs="MS PGothic"/>
          <w:sz w:val="28"/>
          <w:szCs w:val="28"/>
        </w:rPr>
        <w:t>——</w:t>
      </w:r>
      <w:r>
        <w:rPr>
          <w:rFonts w:ascii="宋体" w:hAnsi="宋体" w:eastAsia="宋体" w:cs="宋体"/>
          <w:sz w:val="28"/>
          <w:szCs w:val="28"/>
        </w:rPr>
        <w:t>认知理论</w:t>
      </w:r>
      <w:r>
        <w:rPr>
          <w:rFonts w:ascii="Arial" w:hAnsi="Arial" w:eastAsia="Arial" w:cs="Arial"/>
          <w:sz w:val="28"/>
          <w:szCs w:val="28"/>
        </w:rPr>
        <w:t>/</w:t>
      </w:r>
      <w:r>
        <w:rPr>
          <w:rFonts w:ascii="宋体" w:hAnsi="宋体" w:eastAsia="宋体" w:cs="宋体"/>
          <w:sz w:val="28"/>
          <w:szCs w:val="28"/>
        </w:rPr>
        <w:t>第三节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班杜拉的观察学习理</w:t>
      </w:r>
    </w:p>
    <w:p>
      <w:pPr>
        <w:spacing w:line="64" w:lineRule="exact"/>
        <w:rPr>
          <w:sz w:val="24"/>
          <w:szCs w:val="24"/>
        </w:rPr>
      </w:pPr>
    </w:p>
    <w:p>
      <w:pPr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论</w:t>
      </w:r>
    </w:p>
    <w:p>
      <w:pPr>
        <w:spacing w:line="40" w:lineRule="exact"/>
        <w:rPr>
          <w:sz w:val="24"/>
          <w:szCs w:val="24"/>
        </w:rPr>
      </w:pPr>
    </w:p>
    <w:p>
      <w:pPr>
        <w:tabs>
          <w:tab w:val="left" w:leader="dot" w:pos="8320"/>
        </w:tabs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>5.</w:t>
      </w:r>
      <w:r>
        <w:rPr>
          <w:rFonts w:ascii="宋体" w:hAnsi="宋体" w:eastAsia="宋体" w:cs="宋体"/>
          <w:sz w:val="28"/>
          <w:szCs w:val="28"/>
        </w:rPr>
        <w:t>当事人中心疗法</w:t>
      </w:r>
      <w:r>
        <w:rPr>
          <w:sz w:val="20"/>
          <w:szCs w:val="20"/>
        </w:rPr>
        <w:tab/>
      </w:r>
      <w:r>
        <w:rPr>
          <w:rFonts w:ascii="Arial" w:hAnsi="Arial" w:eastAsia="Arial" w:cs="Arial"/>
          <w:sz w:val="21"/>
          <w:szCs w:val="21"/>
        </w:rPr>
        <w:t>15</w:t>
      </w:r>
    </w:p>
    <w:p>
      <w:pPr>
        <w:spacing w:line="40" w:lineRule="exact"/>
        <w:rPr>
          <w:sz w:val="24"/>
          <w:szCs w:val="24"/>
        </w:rPr>
      </w:pPr>
    </w:p>
    <w:p>
      <w:pPr>
        <w:spacing w:line="338" w:lineRule="exact"/>
        <w:ind w:left="300"/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选自第八章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人本主义学习理论</w:t>
      </w:r>
      <w:r>
        <w:rPr>
          <w:rFonts w:ascii="Arial" w:hAnsi="Arial" w:eastAsia="Arial" w:cs="Arial"/>
          <w:sz w:val="28"/>
          <w:szCs w:val="28"/>
        </w:rPr>
        <w:t>/</w:t>
      </w:r>
      <w:r>
        <w:rPr>
          <w:rFonts w:ascii="宋体" w:hAnsi="宋体" w:eastAsia="宋体" w:cs="宋体"/>
          <w:sz w:val="28"/>
          <w:szCs w:val="28"/>
        </w:rPr>
        <w:t>第二节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人本主义学习理论的心理基</w:t>
      </w:r>
    </w:p>
    <w:p>
      <w:pPr>
        <w:spacing w:line="64" w:lineRule="exact"/>
        <w:rPr>
          <w:sz w:val="24"/>
          <w:szCs w:val="24"/>
        </w:rPr>
      </w:pPr>
    </w:p>
    <w:p>
      <w:pPr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础</w:t>
      </w:r>
    </w:p>
    <w:p>
      <w:pPr>
        <w:spacing w:line="40" w:lineRule="exact"/>
        <w:rPr>
          <w:sz w:val="24"/>
          <w:szCs w:val="24"/>
        </w:rPr>
      </w:pPr>
    </w:p>
    <w:p>
      <w:pPr>
        <w:tabs>
          <w:tab w:val="left" w:leader="dot" w:pos="8240"/>
        </w:tabs>
        <w:spacing w:line="239" w:lineRule="auto"/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>6.</w:t>
      </w:r>
      <w:r>
        <w:rPr>
          <w:rFonts w:ascii="宋体" w:hAnsi="宋体" w:eastAsia="宋体" w:cs="宋体"/>
          <w:sz w:val="28"/>
          <w:szCs w:val="28"/>
        </w:rPr>
        <w:t>学生中心的教学观</w:t>
      </w:r>
      <w:r>
        <w:rPr>
          <w:sz w:val="20"/>
          <w:szCs w:val="20"/>
        </w:rPr>
        <w:tab/>
      </w:r>
      <w:r>
        <w:rPr>
          <w:rFonts w:ascii="Arial" w:hAnsi="Arial" w:eastAsia="Arial" w:cs="Arial"/>
          <w:sz w:val="25"/>
          <w:szCs w:val="25"/>
        </w:rPr>
        <w:t>18</w:t>
      </w:r>
    </w:p>
    <w:p>
      <w:pPr>
        <w:spacing w:line="40" w:lineRule="exact"/>
        <w:rPr>
          <w:sz w:val="24"/>
          <w:szCs w:val="24"/>
        </w:rPr>
      </w:pPr>
    </w:p>
    <w:p>
      <w:pPr>
        <w:spacing w:line="338" w:lineRule="exact"/>
        <w:ind w:left="300"/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选自第八章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人本主义学习理论</w:t>
      </w:r>
      <w:r>
        <w:rPr>
          <w:rFonts w:ascii="Arial" w:hAnsi="Arial" w:eastAsia="Arial" w:cs="Arial"/>
          <w:sz w:val="28"/>
          <w:szCs w:val="28"/>
        </w:rPr>
        <w:t>/</w:t>
      </w:r>
      <w:r>
        <w:rPr>
          <w:rFonts w:ascii="宋体" w:hAnsi="宋体" w:eastAsia="宋体" w:cs="宋体"/>
          <w:sz w:val="28"/>
          <w:szCs w:val="28"/>
        </w:rPr>
        <w:t>第三节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人本主义学习理论的教育主</w:t>
      </w:r>
    </w:p>
    <w:p>
      <w:pPr>
        <w:spacing w:line="64" w:lineRule="exact"/>
        <w:rPr>
          <w:sz w:val="24"/>
          <w:szCs w:val="24"/>
        </w:rPr>
      </w:pPr>
    </w:p>
    <w:p>
      <w:pPr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张</w:t>
      </w:r>
    </w:p>
    <w:p>
      <w:pPr>
        <w:spacing w:line="40" w:lineRule="exact"/>
        <w:rPr>
          <w:sz w:val="24"/>
          <w:szCs w:val="24"/>
        </w:rPr>
      </w:pPr>
    </w:p>
    <w:p>
      <w:pPr>
        <w:tabs>
          <w:tab w:val="left" w:leader="dot" w:pos="8240"/>
        </w:tabs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>7.</w:t>
      </w:r>
      <w:r>
        <w:rPr>
          <w:rFonts w:ascii="宋体" w:hAnsi="宋体" w:eastAsia="宋体" w:cs="宋体"/>
          <w:sz w:val="28"/>
          <w:szCs w:val="28"/>
        </w:rPr>
        <w:t>生成学习理论</w:t>
      </w:r>
      <w:r>
        <w:rPr>
          <w:sz w:val="20"/>
          <w:szCs w:val="20"/>
        </w:rPr>
        <w:tab/>
      </w:r>
      <w:r>
        <w:rPr>
          <w:rFonts w:ascii="Arial" w:hAnsi="Arial" w:eastAsia="Arial" w:cs="Arial"/>
          <w:sz w:val="25"/>
          <w:szCs w:val="25"/>
        </w:rPr>
        <w:t>21</w:t>
      </w:r>
    </w:p>
    <w:p>
      <w:pPr>
        <w:spacing w:line="40" w:lineRule="exact"/>
        <w:rPr>
          <w:sz w:val="24"/>
          <w:szCs w:val="24"/>
        </w:rPr>
      </w:pPr>
    </w:p>
    <w:p>
      <w:pPr>
        <w:spacing w:line="339" w:lineRule="exact"/>
        <w:ind w:left="300"/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选自第九章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建构主义学习理论</w:t>
      </w:r>
      <w:r>
        <w:rPr>
          <w:rFonts w:ascii="Arial" w:hAnsi="Arial" w:eastAsia="Arial" w:cs="Arial"/>
          <w:sz w:val="28"/>
          <w:szCs w:val="28"/>
        </w:rPr>
        <w:t>/</w:t>
      </w:r>
      <w:r>
        <w:rPr>
          <w:rFonts w:ascii="宋体" w:hAnsi="宋体" w:eastAsia="宋体" w:cs="宋体"/>
          <w:sz w:val="28"/>
          <w:szCs w:val="28"/>
        </w:rPr>
        <w:t>第三节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认知建构主义学习理论</w:t>
      </w:r>
    </w:p>
    <w:p>
      <w:pPr>
        <w:spacing w:line="42" w:lineRule="exact"/>
        <w:rPr>
          <w:sz w:val="24"/>
          <w:szCs w:val="24"/>
        </w:rPr>
      </w:pPr>
    </w:p>
    <w:p>
      <w:pPr>
        <w:tabs>
          <w:tab w:val="left" w:leader="dot" w:pos="8240"/>
        </w:tabs>
        <w:spacing w:line="339" w:lineRule="exact"/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>8.</w:t>
      </w:r>
      <w:r>
        <w:rPr>
          <w:rFonts w:ascii="宋体" w:hAnsi="宋体" w:eastAsia="宋体" w:cs="宋体"/>
          <w:sz w:val="28"/>
          <w:szCs w:val="28"/>
        </w:rPr>
        <w:t>支架式教学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文化内化与活动理论的应用</w:t>
      </w:r>
      <w:r>
        <w:rPr>
          <w:sz w:val="20"/>
          <w:szCs w:val="20"/>
        </w:rPr>
        <w:tab/>
      </w:r>
      <w:r>
        <w:rPr>
          <w:rFonts w:ascii="Arial" w:hAnsi="Arial" w:eastAsia="Arial" w:cs="Arial"/>
          <w:sz w:val="25"/>
          <w:szCs w:val="25"/>
        </w:rPr>
        <w:t>25</w:t>
      </w:r>
    </w:p>
    <w:p>
      <w:pPr>
        <w:spacing w:line="40" w:lineRule="exact"/>
        <w:rPr>
          <w:sz w:val="24"/>
          <w:szCs w:val="24"/>
        </w:rPr>
      </w:pPr>
    </w:p>
    <w:p>
      <w:pPr>
        <w:spacing w:line="339" w:lineRule="exact"/>
        <w:ind w:left="300"/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选自第九章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建构主义学习理论</w:t>
      </w:r>
      <w:r>
        <w:rPr>
          <w:rFonts w:ascii="Arial" w:hAnsi="Arial" w:eastAsia="Arial" w:cs="Arial"/>
          <w:sz w:val="28"/>
          <w:szCs w:val="28"/>
        </w:rPr>
        <w:t>/</w:t>
      </w:r>
      <w:r>
        <w:rPr>
          <w:rFonts w:ascii="宋体" w:hAnsi="宋体" w:eastAsia="宋体" w:cs="宋体"/>
          <w:sz w:val="28"/>
          <w:szCs w:val="28"/>
        </w:rPr>
        <w:t>第四节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社会建构主义学习理论</w:t>
      </w:r>
    </w:p>
    <w:p>
      <w:pPr>
        <w:spacing w:line="40" w:lineRule="exact"/>
        <w:rPr>
          <w:sz w:val="24"/>
          <w:szCs w:val="24"/>
        </w:rPr>
      </w:pPr>
    </w:p>
    <w:p>
      <w:pPr>
        <w:tabs>
          <w:tab w:val="left" w:leader="dot" w:pos="8240"/>
        </w:tabs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>9.</w:t>
      </w:r>
      <w:r>
        <w:rPr>
          <w:rFonts w:ascii="宋体" w:hAnsi="宋体" w:eastAsia="宋体" w:cs="宋体"/>
          <w:sz w:val="28"/>
          <w:szCs w:val="28"/>
        </w:rPr>
        <w:t>学习的含义</w:t>
      </w:r>
      <w:r>
        <w:rPr>
          <w:sz w:val="20"/>
          <w:szCs w:val="20"/>
        </w:rPr>
        <w:tab/>
      </w:r>
      <w:r>
        <w:rPr>
          <w:rFonts w:ascii="Arial" w:hAnsi="Arial" w:eastAsia="Arial" w:cs="Arial"/>
          <w:sz w:val="25"/>
          <w:szCs w:val="25"/>
        </w:rPr>
        <w:t>28</w:t>
      </w:r>
    </w:p>
    <w:p>
      <w:pPr>
        <w:spacing w:line="42" w:lineRule="exact"/>
        <w:rPr>
          <w:sz w:val="24"/>
          <w:szCs w:val="24"/>
        </w:rPr>
      </w:pPr>
    </w:p>
    <w:p>
      <w:pPr>
        <w:spacing w:line="339" w:lineRule="exact"/>
        <w:ind w:left="300"/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选自第十章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学习的含义、机制与类型</w:t>
      </w:r>
      <w:r>
        <w:rPr>
          <w:rFonts w:ascii="Arial" w:hAnsi="Arial" w:eastAsia="Arial" w:cs="Arial"/>
          <w:sz w:val="28"/>
          <w:szCs w:val="28"/>
        </w:rPr>
        <w:t>/</w:t>
      </w:r>
      <w:r>
        <w:rPr>
          <w:rFonts w:ascii="宋体" w:hAnsi="宋体" w:eastAsia="宋体" w:cs="宋体"/>
          <w:sz w:val="28"/>
          <w:szCs w:val="28"/>
        </w:rPr>
        <w:t>第一节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学习的含义与作用</w:t>
      </w:r>
    </w:p>
    <w:p>
      <w:pPr>
        <w:spacing w:line="40" w:lineRule="exact"/>
        <w:rPr>
          <w:sz w:val="24"/>
          <w:szCs w:val="24"/>
        </w:rPr>
      </w:pPr>
    </w:p>
    <w:p>
      <w:pPr>
        <w:tabs>
          <w:tab w:val="left" w:leader="dot" w:pos="8240"/>
        </w:tabs>
        <w:rPr>
          <w:sz w:val="20"/>
          <w:szCs w:val="20"/>
        </w:rPr>
      </w:pPr>
      <w:r>
        <w:rPr>
          <w:rFonts w:ascii="Arial" w:hAnsi="Arial" w:eastAsia="Arial" w:cs="Arial"/>
          <w:sz w:val="28"/>
          <w:szCs w:val="28"/>
        </w:rPr>
        <w:t>10.</w:t>
      </w:r>
      <w:r>
        <w:rPr>
          <w:rFonts w:ascii="宋体" w:hAnsi="宋体" w:eastAsia="宋体" w:cs="宋体"/>
          <w:sz w:val="28"/>
          <w:szCs w:val="28"/>
        </w:rPr>
        <w:t>中国古代的学习过程观点</w:t>
      </w:r>
      <w:r>
        <w:rPr>
          <w:sz w:val="20"/>
          <w:szCs w:val="20"/>
        </w:rPr>
        <w:tab/>
      </w:r>
      <w:r>
        <w:rPr>
          <w:rFonts w:ascii="Arial" w:hAnsi="Arial" w:eastAsia="Arial" w:cs="Arial"/>
          <w:sz w:val="25"/>
          <w:szCs w:val="25"/>
        </w:rPr>
        <w:t>31</w:t>
      </w:r>
    </w:p>
    <w:p>
      <w:pPr>
        <w:spacing w:line="40" w:lineRule="exact"/>
        <w:rPr>
          <w:sz w:val="24"/>
          <w:szCs w:val="24"/>
        </w:rPr>
      </w:pPr>
    </w:p>
    <w:p>
      <w:pPr>
        <w:spacing w:line="339" w:lineRule="exact"/>
        <w:ind w:left="300"/>
        <w:rPr>
          <w:sz w:val="20"/>
          <w:szCs w:val="20"/>
        </w:rPr>
      </w:pPr>
      <w:r>
        <w:rPr>
          <w:rFonts w:ascii="宋体" w:hAnsi="宋体" w:eastAsia="宋体" w:cs="宋体"/>
          <w:sz w:val="28"/>
          <w:szCs w:val="28"/>
        </w:rPr>
        <w:t>选自第十章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学习的含义、机制与类型</w:t>
      </w:r>
      <w:r>
        <w:rPr>
          <w:rFonts w:ascii="Arial" w:hAnsi="Arial" w:eastAsia="Arial" w:cs="Arial"/>
          <w:sz w:val="28"/>
          <w:szCs w:val="28"/>
        </w:rPr>
        <w:t>/</w:t>
      </w:r>
      <w:r>
        <w:rPr>
          <w:rFonts w:ascii="宋体" w:hAnsi="宋体" w:eastAsia="宋体" w:cs="宋体"/>
          <w:sz w:val="28"/>
          <w:szCs w:val="28"/>
        </w:rPr>
        <w:t>第二节</w:t>
      </w:r>
      <w:r>
        <w:rPr>
          <w:rFonts w:ascii="MS PGothic" w:hAnsi="MS PGothic" w:eastAsia="MS PGothic" w:cs="MS PGothic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</w:rPr>
        <w:t>学习的内在机制</w:t>
      </w: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60" w:lineRule="exact"/>
        <w:rPr>
          <w:sz w:val="24"/>
          <w:szCs w:val="24"/>
        </w:rPr>
      </w:pPr>
    </w:p>
    <w:p>
      <w:pPr>
        <w:ind w:left="4360"/>
        <w:rPr>
          <w:sz w:val="20"/>
          <w:szCs w:val="20"/>
        </w:rPr>
      </w:pPr>
      <w:r>
        <w:rPr>
          <w:rFonts w:ascii="Calibri" w:hAnsi="Calibri" w:eastAsia="Calibri" w:cs="Calibri"/>
          <w:sz w:val="28"/>
          <w:szCs w:val="28"/>
        </w:rPr>
        <w:t>1</w:t>
      </w:r>
    </w:p>
    <w:sectPr>
      <w:pgSz w:w="11900" w:h="16838"/>
      <w:pgMar w:top="1440" w:right="1460" w:bottom="1440" w:left="1580" w:header="0" w:footer="0" w:gutter="0"/>
      <w:cols w:equalWidth="0" w:num="1">
        <w:col w:w="88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NWRkOTRlMmIyNzA4YTY3MDA5MTk4YzZhNWY4ZDQifQ=="/>
  </w:docVars>
  <w:rsids>
    <w:rsidRoot w:val="00FD34A0"/>
    <w:rsid w:val="00281F93"/>
    <w:rsid w:val="00627A2B"/>
    <w:rsid w:val="008F2C4E"/>
    <w:rsid w:val="00903790"/>
    <w:rsid w:val="00BB325D"/>
    <w:rsid w:val="00FD34A0"/>
    <w:rsid w:val="00FE39F3"/>
    <w:rsid w:val="01137B03"/>
    <w:rsid w:val="506D2901"/>
    <w:rsid w:val="6E8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612</Words>
  <Characters>634</Characters>
  <Lines>5</Lines>
  <Paragraphs>1</Paragraphs>
  <TotalTime>3</TotalTime>
  <ScaleCrop>false</ScaleCrop>
  <LinksUpToDate>false</LinksUpToDate>
  <CharactersWithSpaces>653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2022-04-26T10:49:00Z</dcterms:created>
  <dc:creator>Windows User</dc:creator>
  <cp:lastModifiedBy>赖惟肖 Jason</cp:lastModifiedBy>
  <dcterms:modified xsi:type="dcterms:W3CDTF">2022-04-26T07:51:00Z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C26C7D115E0046DCA2712A366CD045E3</vt:lpwstr>
  </property>
</Properties>
</file>