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Theme="minorEastAsia" w:hAnsiTheme="minorEastAsia" w:eastAsiaTheme="minorEastAsia" w:cstheme="minorEastAsia"/>
          <w:b/>
          <w:bCs/>
          <w:color w:val="auto"/>
          <w:sz w:val="32"/>
          <w:szCs w:val="32"/>
        </w:rPr>
      </w:pPr>
      <w:bookmarkStart w:id="0" w:name="_Toc7778"/>
      <w:bookmarkStart w:id="1" w:name="_Toc10286"/>
      <w:r>
        <w:rPr>
          <w:rFonts w:hint="eastAsia" w:asciiTheme="minorEastAsia" w:hAnsiTheme="minorEastAsia" w:eastAsiaTheme="minorEastAsia" w:cstheme="minorEastAsia"/>
          <w:b/>
          <w:bCs/>
          <w:color w:val="auto"/>
          <w:sz w:val="32"/>
          <w:szCs w:val="32"/>
        </w:rPr>
        <w:t>广东外语外贸大学南国商学院</w:t>
      </w:r>
      <w:bookmarkEnd w:id="0"/>
      <w:bookmarkEnd w:id="1"/>
    </w:p>
    <w:p>
      <w:pPr>
        <w:spacing w:line="360" w:lineRule="auto"/>
        <w:jc w:val="center"/>
        <w:outlineLvl w:val="1"/>
        <w:rPr>
          <w:rFonts w:hint="eastAsia" w:asciiTheme="minorEastAsia" w:hAnsiTheme="minorEastAsia" w:eastAsiaTheme="minorEastAsia" w:cstheme="minorEastAsia"/>
          <w:b/>
          <w:bCs/>
          <w:color w:val="auto"/>
          <w:sz w:val="32"/>
          <w:szCs w:val="32"/>
        </w:rPr>
      </w:pPr>
      <w:bookmarkStart w:id="2" w:name="_Toc3685"/>
      <w:bookmarkStart w:id="3" w:name="_Toc25586"/>
      <w:bookmarkStart w:id="4" w:name="_Toc23327"/>
      <w:bookmarkStart w:id="5" w:name="_Toc3759"/>
      <w:r>
        <w:rPr>
          <w:rFonts w:hint="eastAsia" w:asciiTheme="minorEastAsia" w:hAnsiTheme="minorEastAsia" w:eastAsiaTheme="minorEastAsia" w:cstheme="minorEastAsia"/>
          <w:b/>
          <w:bCs/>
          <w:color w:val="auto"/>
          <w:sz w:val="32"/>
          <w:szCs w:val="32"/>
        </w:rPr>
        <w:t>课程重修免听免修管理办法</w:t>
      </w:r>
      <w:bookmarkEnd w:id="2"/>
      <w:bookmarkEnd w:id="3"/>
      <w:bookmarkEnd w:id="4"/>
      <w:bookmarkEnd w:id="5"/>
    </w:p>
    <w:p>
      <w:pPr>
        <w:spacing w:before="113" w:beforeLines="0" w:afterLines="0" w:line="360" w:lineRule="auto"/>
        <w:ind w:left="16" w:leftChars="0" w:right="-167" w:hanging="16" w:firstLineChars="0"/>
        <w:jc w:val="center"/>
        <w:rPr>
          <w:rFonts w:hint="eastAsia" w:asciiTheme="minorEastAsia" w:hAnsiTheme="minorEastAsia" w:eastAsiaTheme="minorEastAsia" w:cstheme="minorEastAsia"/>
          <w:color w:val="auto"/>
          <w:sz w:val="21"/>
          <w:szCs w:val="21"/>
        </w:rPr>
      </w:pPr>
      <w:bookmarkStart w:id="6" w:name="_Toc30937"/>
      <w:bookmarkStart w:id="7" w:name="_Toc14937"/>
      <w:r>
        <w:rPr>
          <w:rFonts w:hint="eastAsia" w:asciiTheme="minorEastAsia" w:hAnsiTheme="minorEastAsia" w:eastAsiaTheme="minorEastAsia" w:cstheme="minorEastAsia"/>
          <w:color w:val="auto"/>
          <w:sz w:val="21"/>
          <w:szCs w:val="21"/>
        </w:rPr>
        <w:t>南国〔2017〕208号</w:t>
      </w:r>
      <w:bookmarkEnd w:id="6"/>
      <w:bookmarkEnd w:id="7"/>
    </w:p>
    <w:p>
      <w:pPr>
        <w:spacing w:before="43" w:beforeLines="0" w:afterLines="0" w:line="360" w:lineRule="auto"/>
        <w:ind w:left="15" w:leftChars="0" w:right="-176" w:hanging="15" w:firstLineChars="0"/>
        <w:jc w:val="center"/>
        <w:rPr>
          <w:rFonts w:hint="eastAsia" w:asciiTheme="minorEastAsia" w:hAnsiTheme="minorEastAsia" w:eastAsiaTheme="minorEastAsia" w:cstheme="minorEastAsia"/>
          <w:b/>
          <w:bCs/>
          <w:color w:val="auto"/>
          <w:sz w:val="24"/>
          <w:szCs w:val="24"/>
        </w:rPr>
      </w:pPr>
      <w:bookmarkStart w:id="8" w:name="_Toc16377"/>
      <w:bookmarkStart w:id="9" w:name="_Toc10197"/>
      <w:r>
        <w:rPr>
          <w:rFonts w:hint="eastAsia" w:asciiTheme="minorEastAsia" w:hAnsiTheme="minorEastAsia" w:eastAsiaTheme="minorEastAsia" w:cstheme="minorEastAsia"/>
          <w:b/>
          <w:bCs/>
          <w:color w:val="auto"/>
          <w:sz w:val="24"/>
          <w:szCs w:val="24"/>
        </w:rPr>
        <w:t>第一章</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总</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则</w:t>
      </w:r>
      <w:bookmarkEnd w:id="8"/>
      <w:bookmarkEnd w:id="9"/>
    </w:p>
    <w:p>
      <w:pPr>
        <w:spacing w:before="144"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第一条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为规范课程管理,保证人才培养质量,根据学校学籍管理有关规定,结合学校的实际情况,特制定本办法 。</w:t>
      </w:r>
    </w:p>
    <w:p>
      <w:pPr>
        <w:spacing w:before="78" w:beforeLines="0" w:afterLines="0" w:line="360" w:lineRule="auto"/>
        <w:ind w:left="-2" w:leftChars="0" w:right="-167" w:hanging="2" w:firstLineChars="0"/>
        <w:jc w:val="center"/>
        <w:rPr>
          <w:rFonts w:hint="eastAsia" w:asciiTheme="minorEastAsia" w:hAnsiTheme="minorEastAsia" w:eastAsiaTheme="minorEastAsia" w:cstheme="minorEastAsia"/>
          <w:color w:val="auto"/>
          <w:sz w:val="21"/>
          <w:szCs w:val="21"/>
        </w:rPr>
      </w:pPr>
      <w:bookmarkStart w:id="10" w:name="_Toc25317"/>
      <w:bookmarkStart w:id="11" w:name="_Toc13948"/>
      <w:r>
        <w:rPr>
          <w:rFonts w:hint="eastAsia" w:asciiTheme="minorEastAsia" w:hAnsiTheme="minorEastAsia" w:eastAsiaTheme="minorEastAsia" w:cstheme="minorEastAsia"/>
          <w:b/>
          <w:bCs/>
          <w:color w:val="auto"/>
          <w:sz w:val="24"/>
          <w:szCs w:val="24"/>
        </w:rPr>
        <w:t>第二章</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重</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修</w:t>
      </w:r>
      <w:bookmarkEnd w:id="10"/>
      <w:bookmarkEnd w:id="11"/>
    </w:p>
    <w:p>
      <w:pPr>
        <w:spacing w:before="72"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第二条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重修范围</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学生修读必修课有下列情况之一的,必须重修: </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1.补</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缓</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考不合格。</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2.未办理缓考手续缺考或补考缺考。</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3.因考试作弊,成绩被认定为</w:t>
      </w:r>
      <w:r>
        <w:rPr>
          <w:rFonts w:hint="eastAsia" w:asciiTheme="minorEastAsia" w:hAnsi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分。</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4.课程考试资格审核中被取消考试资格。</w:t>
      </w:r>
    </w:p>
    <w:p>
      <w:pPr>
        <w:spacing w:before="12"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选修课不及格可以申请重修,也可以按规定选修其他课程。</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因人才培养方案调整,出现课程名称、学分、课程属性与需重修课程不一致的情况,由需重修课程的原开课单位指定一门相近课程让学生重修。</w:t>
      </w:r>
    </w:p>
    <w:p>
      <w:pPr>
        <w:spacing w:before="17"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第三条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重修形式</w:t>
      </w:r>
    </w:p>
    <w:p>
      <w:pPr>
        <w:spacing w:before="20"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重修分为编班重修、跟班重修和在教师辅导下自学重修三种形式,学生可根据自身情况和学校教学安排选择其中一种方式重修。</w:t>
      </w:r>
    </w:p>
    <w:p>
      <w:pPr>
        <w:spacing w:before="64" w:beforeLines="0" w:afterLines="0" w:line="360" w:lineRule="auto"/>
        <w:ind w:right="-95" w:firstLine="42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编班重修:通识教育必修课程重修学生人数达到30人,大学外语教育必修课程重修学生人数达到2</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人,单独编班。 未达到单独编班人数, 学生可选择跟班重修或在教师辅导下自学重修。一门课程,学生只能参加一次编班重修。</w:t>
      </w:r>
    </w:p>
    <w:p>
      <w:pPr>
        <w:spacing w:before="6"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跟班重修:由开课单位将已办理重修手续的学生编入低年级相同课程所在班级跟班修读。</w:t>
      </w:r>
    </w:p>
    <w:p>
      <w:pPr>
        <w:spacing w:before="13"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在教师辅导下自学重修:因重修课程与现修读课程时间冲突,或者学生因参加毕业实习或结业生因参加工作无法回校参加正常课堂教学活动的, 由开课单位将其编入相应班级,学生采取</w:t>
      </w:r>
      <w:r>
        <w:rPr>
          <w:rFonts w:hint="eastAsia" w:asciiTheme="minorEastAsia" w:hAnsiTheme="minorEastAsia" w:eastAsiaTheme="minorEastAsia" w:cstheme="minorEastAsia"/>
          <w:color w:val="auto"/>
          <w:sz w:val="21"/>
          <w:szCs w:val="21"/>
          <w:lang w:eastAsia="zh-CN"/>
        </w:rPr>
        <w:t>自</w:t>
      </w:r>
      <w:r>
        <w:rPr>
          <w:rFonts w:hint="eastAsia" w:asciiTheme="minorEastAsia" w:hAnsiTheme="minorEastAsia" w:eastAsiaTheme="minorEastAsia" w:cstheme="minorEastAsia"/>
          <w:color w:val="auto"/>
          <w:sz w:val="21"/>
          <w:szCs w:val="21"/>
        </w:rPr>
        <w:t>学、教师辅导答疑的方式进行重修,但必须参加该课程的期末考核 。</w:t>
      </w:r>
    </w:p>
    <w:p>
      <w:pPr>
        <w:spacing w:before="13"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第四条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重修课程考核要求及安排</w:t>
      </w:r>
    </w:p>
    <w:p>
      <w:pPr>
        <w:spacing w:before="13"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重修课程考核要求</w:t>
      </w:r>
    </w:p>
    <w:p>
      <w:pPr>
        <w:spacing w:before="6"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1.参加编班重修和跟班重修的学生,缺课达重修课程教学时问三分之一的, 取消其参加期末考核资格。</w:t>
      </w:r>
    </w:p>
    <w:p>
      <w:pPr>
        <w:spacing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2.学生未办理手续自行重修或未经批准擅自更换重修班级的,其重修课程考核成绩不予认定。</w:t>
      </w:r>
    </w:p>
    <w:p>
      <w:pPr>
        <w:spacing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重修课程考核安排</w:t>
      </w:r>
    </w:p>
    <w:p>
      <w:pPr>
        <w:spacing w:before="12"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1.跟班重修课程的考核与重修所在班级的期末考核统一进行。</w:t>
      </w:r>
    </w:p>
    <w:p>
      <w:pPr>
        <w:spacing w:before="29" w:beforeLines="0" w:afterLines="0" w:line="360" w:lineRule="auto"/>
        <w:ind w:right="-95"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2.编班重修课程由任课教师根据课程考核要求,单独安排考试。</w:t>
      </w:r>
    </w:p>
    <w:p>
      <w:pPr>
        <w:spacing w:before="17"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3.在教师輔导下自学重修的学生,参加所编入班级的期末考核。</w:t>
      </w:r>
    </w:p>
    <w:p>
      <w:pPr>
        <w:spacing w:before="17"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4.如重修课程考核与正常开课课程的期末考核发生冲突, 学生应在重修课程考核前两周到开课单位办理缓考手续, 否则按缺考处理。</w:t>
      </w:r>
    </w:p>
    <w:p>
      <w:pPr>
        <w:spacing w:before="17"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第五条</w:t>
      </w:r>
      <w:r>
        <w:rPr>
          <w:rFonts w:hint="eastAsia" w:asciiTheme="minorEastAsia" w:hAnsiTheme="minorEastAsia" w:eastAsiaTheme="minorEastAsia" w:cstheme="minorEastAsia"/>
          <w:color w:val="auto"/>
          <w:sz w:val="21"/>
          <w:szCs w:val="21"/>
        </w:rPr>
        <w:t xml:space="preserve"> 重修成绩及学分录入</w:t>
      </w:r>
    </w:p>
    <w:p>
      <w:pPr>
        <w:spacing w:before="32"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学生重修考核及格,由任课教师或辅导教师根据学生平时成绩和考试成绩评定综合成绩,录入教务管理系统中重修成绩一栏,给予相应学分,课程绩点记为</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w:t>
      </w:r>
    </w:p>
    <w:p>
      <w:pPr>
        <w:spacing w:before="17"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因考试作弊而重修的课程,重修考核成绩最高按</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分计,给予相应学分,课程绩点记为</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w:t>
      </w:r>
    </w:p>
    <w:p>
      <w:pPr>
        <w:spacing w:before="71" w:beforeLines="0" w:afterLines="0" w:line="360" w:lineRule="auto"/>
        <w:ind w:left="-2" w:leftChars="0" w:right="-278" w:hanging="2" w:firstLineChars="0"/>
        <w:jc w:val="center"/>
        <w:rPr>
          <w:rFonts w:hint="eastAsia" w:asciiTheme="minorEastAsia" w:hAnsiTheme="minorEastAsia" w:eastAsiaTheme="minorEastAsia" w:cstheme="minorEastAsia"/>
          <w:b/>
          <w:bCs/>
          <w:color w:val="auto"/>
          <w:sz w:val="24"/>
          <w:szCs w:val="24"/>
        </w:rPr>
      </w:pPr>
      <w:bookmarkStart w:id="12" w:name="_Toc18852"/>
      <w:bookmarkStart w:id="13" w:name="_Toc17833"/>
      <w:r>
        <w:rPr>
          <w:rFonts w:hint="eastAsia" w:asciiTheme="minorEastAsia" w:hAnsiTheme="minorEastAsia" w:eastAsiaTheme="minorEastAsia" w:cstheme="minorEastAsia"/>
          <w:b/>
          <w:bCs/>
          <w:color w:val="auto"/>
          <w:sz w:val="24"/>
          <w:szCs w:val="24"/>
        </w:rPr>
        <w:t>第三章</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免</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听</w:t>
      </w:r>
      <w:bookmarkEnd w:id="12"/>
      <w:bookmarkEnd w:id="13"/>
    </w:p>
    <w:p>
      <w:pPr>
        <w:spacing w:before="165"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第六条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免听,是指学生在校修业期问,在某一门课程</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重修课程除外</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规定的授课时间内申请免予听课,但必须按时完成任课教师布置的作业, 参加测验和实践教学环节, 参加课程的期末考核, 成绩合格者获得相应学分。</w:t>
      </w:r>
    </w:p>
    <w:p>
      <w:pPr>
        <w:spacing w:before="165"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第七条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申请条件</w:t>
      </w:r>
    </w:p>
    <w:p>
      <w:pPr>
        <w:spacing w:before="165"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符合下列条件之一的学生,可申请课程免听:</w:t>
      </w:r>
    </w:p>
    <w:p>
      <w:pPr>
        <w:spacing w:before="165"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平均学分绩点达到3. 5及以上, </w:t>
      </w:r>
      <w:r>
        <w:rPr>
          <w:rFonts w:hint="eastAsia" w:asciiTheme="minorEastAsia" w:hAnsiTheme="minorEastAsia" w:cstheme="minorEastAsia"/>
          <w:color w:val="auto"/>
          <w:sz w:val="21"/>
          <w:szCs w:val="21"/>
          <w:lang w:val="en-US" w:eastAsia="zh-CN"/>
        </w:rPr>
        <w:t>自</w:t>
      </w:r>
      <w:bookmarkStart w:id="18" w:name="_GoBack"/>
      <w:bookmarkEnd w:id="18"/>
      <w:r>
        <w:rPr>
          <w:rFonts w:hint="eastAsia" w:asciiTheme="minorEastAsia" w:hAnsiTheme="minorEastAsia" w:eastAsiaTheme="minorEastAsia" w:cstheme="minorEastAsia"/>
          <w:color w:val="auto"/>
          <w:sz w:val="21"/>
          <w:szCs w:val="21"/>
        </w:rPr>
        <w:t>学能力较强。</w:t>
      </w:r>
    </w:p>
    <w:p>
      <w:pPr>
        <w:spacing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因转专业、复学、修读</w:t>
      </w:r>
      <w:r>
        <w:rPr>
          <w:rFonts w:hint="eastAsia" w:asciiTheme="minorEastAsia" w:hAnsiTheme="minorEastAsia" w:eastAsiaTheme="minorEastAsia" w:cstheme="minorEastAsia"/>
          <w:color w:val="auto"/>
          <w:sz w:val="21"/>
          <w:szCs w:val="21"/>
          <w:lang w:eastAsia="zh-CN"/>
        </w:rPr>
        <w:t>辅修</w:t>
      </w:r>
      <w:r>
        <w:rPr>
          <w:rFonts w:hint="eastAsia" w:asciiTheme="minorEastAsia" w:hAnsiTheme="minorEastAsia" w:eastAsiaTheme="minorEastAsia" w:cstheme="minorEastAsia"/>
          <w:color w:val="auto"/>
          <w:sz w:val="21"/>
          <w:szCs w:val="21"/>
        </w:rPr>
        <w:t>专业等原因与现所修读课程上课时间发生冲突。</w:t>
      </w:r>
    </w:p>
    <w:p>
      <w:pPr>
        <w:spacing w:before="10"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第八条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思想政治课、数学课、体育课、军事理论课与军训以及开课单位确定为必须随堂听课的课程,不得申请免听。 因身体疾病或生理缺陷经医生证明不能坚持上课者, 可酌情办理。</w:t>
      </w:r>
    </w:p>
    <w:p>
      <w:pPr>
        <w:spacing w:before="10"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第九条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免</w:t>
      </w:r>
      <w:r>
        <w:rPr>
          <w:rFonts w:hint="eastAsia" w:asciiTheme="minorEastAsia" w:hAnsiTheme="minorEastAsia" w:eastAsiaTheme="minorEastAsia" w:cstheme="minorEastAsia"/>
          <w:color w:val="auto"/>
          <w:sz w:val="21"/>
          <w:szCs w:val="21"/>
          <w:lang w:eastAsia="zh-CN"/>
        </w:rPr>
        <w:t>听</w:t>
      </w:r>
      <w:r>
        <w:rPr>
          <w:rFonts w:hint="eastAsia" w:asciiTheme="minorEastAsia" w:hAnsiTheme="minorEastAsia" w:eastAsiaTheme="minorEastAsia" w:cstheme="minorEastAsia"/>
          <w:color w:val="auto"/>
          <w:sz w:val="21"/>
          <w:szCs w:val="21"/>
        </w:rPr>
        <w:t>手续</w:t>
      </w:r>
    </w:p>
    <w:p>
      <w:pPr>
        <w:spacing w:before="71" w:beforeLines="0" w:afterLines="0" w:line="360" w:lineRule="auto"/>
        <w:ind w:right="-50"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符合条件的学生每学期开学后两周内由本人填报«免听申请表»,经所在学院审核同意后,交开课单位审批, «免听申请表»报教务处备案,逾期不予办理。</w:t>
      </w:r>
    </w:p>
    <w:p>
      <w:pPr>
        <w:spacing w:before="71" w:beforeLines="0" w:afterLines="0" w:line="360" w:lineRule="auto"/>
        <w:ind w:right="-50"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开课单位向任课教师提供免听学生名单。</w:t>
      </w:r>
    </w:p>
    <w:p>
      <w:pPr>
        <w:spacing w:before="12" w:beforeLines="0" w:afterLines="0" w:line="360" w:lineRule="auto"/>
        <w:ind w:right="-50"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获准免听的学生须主动与任课教师联系,完成任课教师布置的学习笔记、作业、实验等任务。</w:t>
      </w:r>
    </w:p>
    <w:p>
      <w:pPr>
        <w:spacing w:before="12" w:beforeLines="0" w:afterLines="0" w:line="360" w:lineRule="auto"/>
        <w:ind w:right="-50"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免听课程成绩管理</w:t>
      </w:r>
    </w:p>
    <w:p>
      <w:pPr>
        <w:spacing w:before="29" w:beforeLines="0" w:afterLines="0" w:line="360" w:lineRule="auto"/>
        <w:ind w:right="-74"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免听课程的考核不设平时成绩, 以期末考核卷面成绩录入教务系统 。</w:t>
      </w:r>
    </w:p>
    <w:p>
      <w:pPr>
        <w:spacing w:before="82" w:beforeLines="0" w:afterLines="0" w:line="360" w:lineRule="auto"/>
        <w:ind w:left="-2" w:leftChars="0" w:right="-95" w:hanging="2" w:firstLineChars="0"/>
        <w:jc w:val="center"/>
        <w:rPr>
          <w:rFonts w:hint="eastAsia" w:asciiTheme="minorEastAsia" w:hAnsiTheme="minorEastAsia" w:eastAsiaTheme="minorEastAsia" w:cstheme="minorEastAsia"/>
          <w:b/>
          <w:bCs/>
          <w:color w:val="auto"/>
          <w:sz w:val="24"/>
          <w:szCs w:val="24"/>
        </w:rPr>
      </w:pPr>
      <w:bookmarkStart w:id="14" w:name="_Toc23812"/>
      <w:bookmarkStart w:id="15" w:name="_Toc17906"/>
      <w:r>
        <w:rPr>
          <w:rFonts w:hint="eastAsia" w:asciiTheme="minorEastAsia" w:hAnsiTheme="minorEastAsia" w:eastAsiaTheme="minorEastAsia" w:cstheme="minorEastAsia"/>
          <w:b/>
          <w:bCs/>
          <w:color w:val="auto"/>
          <w:sz w:val="24"/>
          <w:szCs w:val="24"/>
        </w:rPr>
        <w:t>第四章</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免</w:t>
      </w: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修</w:t>
      </w:r>
      <w:bookmarkEnd w:id="14"/>
      <w:bookmarkEnd w:id="15"/>
    </w:p>
    <w:p>
      <w:pPr>
        <w:spacing w:before="173" w:beforeLines="0" w:afterLines="0" w:line="360" w:lineRule="auto"/>
        <w:ind w:right="1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第十一条</w:t>
      </w:r>
      <w:r>
        <w:rPr>
          <w:rFonts w:hint="eastAsia" w:asciiTheme="minorEastAsia" w:hAnsiTheme="minorEastAsia" w:eastAsiaTheme="minorEastAsia" w:cstheme="minorEastAsia"/>
          <w:color w:val="auto"/>
          <w:sz w:val="21"/>
          <w:szCs w:val="21"/>
        </w:rPr>
        <w:t xml:space="preserve"> 免修是指经申请审核后, 学生不参与课程的教学环节,直接取得课程学分。</w:t>
      </w:r>
    </w:p>
    <w:p>
      <w:pPr>
        <w:spacing w:before="14" w:beforeLines="0" w:afterLines="0" w:line="360" w:lineRule="auto"/>
        <w:ind w:right="1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第十二条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学生已修课程的专业层次、专业属性、教学要求、教学时数、学分数超过或者等于正在修读的课程,且课程成绩合格的, 按课程及学分认定的相关规定办理手续后,可以免修该门课程,取得课程成绩及学分,无需另外办理课程免修手续 。</w:t>
      </w:r>
    </w:p>
    <w:p>
      <w:pPr>
        <w:spacing w:before="15" w:beforeLines="0" w:afterLines="0" w:line="360" w:lineRule="auto"/>
        <w:ind w:right="1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第十三条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修满</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学分、平均学分绩点达到3.7以上、自学能力强的学生,可以申请免修人才培养方案规定的部分课程,参加课程开设单位组织的免修考试,成绩达到</w:t>
      </w:r>
      <w:r>
        <w:rPr>
          <w:rFonts w:hint="eastAsia" w:asciiTheme="minorEastAsia" w:hAnsiTheme="minorEastAsia" w:eastAsiaTheme="minorEastAsia" w:cstheme="minorEastAsia"/>
          <w:color w:val="auto"/>
          <w:sz w:val="21"/>
          <w:szCs w:val="21"/>
          <w:lang w:val="en-US" w:eastAsia="zh-CN"/>
        </w:rPr>
        <w:t>80</w:t>
      </w:r>
      <w:r>
        <w:rPr>
          <w:rFonts w:hint="eastAsia" w:asciiTheme="minorEastAsia" w:hAnsiTheme="minorEastAsia" w:eastAsiaTheme="minorEastAsia" w:cstheme="minorEastAsia"/>
          <w:color w:val="auto"/>
          <w:sz w:val="21"/>
          <w:szCs w:val="21"/>
        </w:rPr>
        <w:t>分, 准予免修,取得课程学分。</w:t>
      </w:r>
    </w:p>
    <w:p>
      <w:pPr>
        <w:spacing w:before="17" w:beforeLines="0" w:afterLines="0" w:line="360" w:lineRule="auto"/>
        <w:ind w:right="-34"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第十四条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思想政治课、数学课、体育课、实习、毕业论文</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毕业设计</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、军事理论课与军训以及开课单位确定为不予免修的课程, 不得申请免修。</w:t>
      </w:r>
    </w:p>
    <w:p>
      <w:pPr>
        <w:spacing w:before="17" w:beforeLines="0" w:afterLines="0" w:line="360" w:lineRule="auto"/>
        <w:ind w:right="-34"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mc:AlternateContent>
          <mc:Choice Requires="wps">
            <w:drawing>
              <wp:anchor distT="0" distB="0" distL="114300" distR="114300" simplePos="0" relativeHeight="251659264" behindDoc="1" locked="0" layoutInCell="1" allowOverlap="1">
                <wp:simplePos x="0" y="0"/>
                <wp:positionH relativeFrom="page">
                  <wp:posOffset>1272540</wp:posOffset>
                </wp:positionH>
                <wp:positionV relativeFrom="page">
                  <wp:posOffset>10025380</wp:posOffset>
                </wp:positionV>
                <wp:extent cx="97155" cy="142875"/>
                <wp:effectExtent l="0" t="0" r="17145" b="9525"/>
                <wp:wrapNone/>
                <wp:docPr id="26" name="图片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7155" cy="142875"/>
                        </a:xfrm>
                        <a:prstGeom prst="rect">
                          <a:avLst/>
                        </a:prstGeom>
                        <a:solidFill>
                          <a:srgbClr val="FFFFFF"/>
                        </a:solidFill>
                        <a:ln w="9525">
                          <a:noFill/>
                        </a:ln>
                      </wps:spPr>
                      <wps:bodyPr lIns="0" tIns="0" rIns="0" bIns="0" upright="1">
                        <a:spAutoFit/>
                      </wps:bodyPr>
                    </wps:wsp>
                  </a:graphicData>
                </a:graphic>
              </wp:anchor>
            </w:drawing>
          </mc:Choice>
          <mc:Fallback>
            <w:pict>
              <v:rect id="图片 30" o:spid="_x0000_s1026" o:spt="1" style="position:absolute;left:0pt;margin-left:100.2pt;margin-top:789.4pt;height:11.25pt;width:7.65pt;mso-position-horizontal-relative:page;mso-position-vertical-relative:page;z-index:-251657216;mso-width-relative:page;mso-height-relative:page;" fillcolor="#FFFFFF" filled="t" stroked="f" coordsize="21600,21600" o:gfxdata="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sDfI2AAA&#10;AA0BAAAPAAAAAAAAAAEAIAAAACIAAABkcnMvZG93bnJldi54bWxQSwECFAAUAAAACACHTuJAyBYj&#10;u+UBAADSAwAADgAAAAAAAAABACAAAAAnAQAAZHJzL2Uyb0RvYy54bWxQSwUGAAAAAAYABgBZAQAA&#10;fgUAAAAA&#10;">
                <v:fill on="t" focussize="0,0"/>
                <v:stroke on="f"/>
                <v:imagedata o:title=""/>
                <o:lock v:ext="edit" aspectratio="t"/>
                <v:textbox inset="0mm,0mm,0mm,0mm" style="mso-fit-shape-to-text:t;"/>
              </v:rect>
            </w:pict>
          </mc:Fallback>
        </mc:AlternateContent>
      </w:r>
      <w:r>
        <w:rPr>
          <w:rFonts w:hint="eastAsia" w:asciiTheme="minorEastAsia" w:hAnsiTheme="minorEastAsia" w:cstheme="minorEastAsia"/>
          <w:b/>
          <w:bCs/>
          <w:color w:val="auto"/>
          <w:sz w:val="21"/>
          <w:szCs w:val="21"/>
          <w:lang w:eastAsia="zh-CN"/>
        </w:rPr>
        <w:t>第十五条</w:t>
      </w:r>
      <w:r>
        <w:rPr>
          <w:rFonts w:hint="eastAsia" w:asciiTheme="minorEastAsia" w:hAnsiTheme="minorEastAsia" w:cstheme="minorEastAsia"/>
          <w:color w:val="auto"/>
          <w:sz w:val="21"/>
          <w:szCs w:val="21"/>
          <w:lang w:val="en-US" w:eastAsia="zh-CN"/>
        </w:rPr>
        <w:t xml:space="preserve"> 免修手续</w:t>
      </w:r>
    </w:p>
    <w:p>
      <w:pPr>
        <w:spacing w:before="19"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学生申请免修课程,应于该课程开课前一学期结束前三周内填报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免修申请表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,经所在学院审核同意后, 交开课单位审批,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免修申请表</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报教务处备案,逾期不予办理。</w:t>
      </w:r>
    </w:p>
    <w:p>
      <w:pPr>
        <w:spacing w:before="19"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开课单位向任课教师提供免修学生名单。</w:t>
      </w:r>
    </w:p>
    <w:p>
      <w:pPr>
        <w:spacing w:before="19" w:beforeLines="0" w:afterLines="0" w:line="360" w:lineRule="auto"/>
        <w:ind w:right="-119"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第十六条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免修课程成绩管理</w:t>
      </w:r>
    </w:p>
    <w:p>
      <w:pPr>
        <w:spacing w:before="17"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免修课程按照已修读合格相同课程的成绩或免修考试成绩录入教务管理系统 。</w:t>
      </w:r>
    </w:p>
    <w:p>
      <w:pPr>
        <w:numPr>
          <w:ilvl w:val="0"/>
          <w:numId w:val="1"/>
        </w:numPr>
        <w:spacing w:before="93" w:beforeLines="0" w:afterLines="0" w:line="360" w:lineRule="auto"/>
        <w:ind w:left="-2" w:leftChars="0" w:right="-167" w:hanging="2"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 xml:space="preserve"> </w:t>
      </w:r>
      <w:bookmarkStart w:id="16" w:name="_Toc27081"/>
      <w:bookmarkStart w:id="17" w:name="_Toc24009"/>
      <w:r>
        <w:rPr>
          <w:rFonts w:hint="eastAsia" w:asciiTheme="minorEastAsia" w:hAnsiTheme="minorEastAsia" w:eastAsiaTheme="minorEastAsia" w:cstheme="minorEastAsia"/>
          <w:b/>
          <w:bCs/>
          <w:color w:val="auto"/>
          <w:sz w:val="24"/>
          <w:szCs w:val="24"/>
        </w:rPr>
        <w:t>附  则</w:t>
      </w:r>
      <w:bookmarkEnd w:id="16"/>
      <w:bookmarkEnd w:id="17"/>
    </w:p>
    <w:p>
      <w:pPr>
        <w:numPr>
          <w:ilvl w:val="0"/>
          <w:numId w:val="0"/>
        </w:numPr>
        <w:spacing w:before="93" w:beforeLines="0" w:afterLines="0" w:line="360" w:lineRule="auto"/>
        <w:ind w:right="-167" w:rightChars="0" w:firstLine="420" w:firstLineChars="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第十七条</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本办法自公布之日起施行, 由教务处负责解释。</w:t>
      </w:r>
    </w:p>
    <w:p>
      <w:pPr>
        <w:spacing w:before="23" w:beforeLines="0" w:afterLines="0" w:line="360" w:lineRule="auto"/>
        <w:ind w:right="-143" w:firstLine="42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第十八条</w:t>
      </w:r>
      <w:r>
        <w:rPr>
          <w:rFonts w:hint="eastAsia" w:asciiTheme="minorEastAsia" w:hAnsiTheme="minorEastAsia" w:eastAsiaTheme="minorEastAsia" w:cstheme="minorEastAsia"/>
          <w:color w:val="auto"/>
          <w:sz w:val="21"/>
          <w:szCs w:val="21"/>
        </w:rPr>
        <w:t xml:space="preserve"> 学校之前下发的有关文件与本办法不符的, 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A2063"/>
    <w:multiLevelType w:val="singleLevel"/>
    <w:tmpl w:val="59CA2063"/>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TZjYmRkOTJlOThiOTk5NGEwN2E2Zjg3MGU4YzEifQ=="/>
  </w:docVars>
  <w:rsids>
    <w:rsidRoot w:val="00000000"/>
    <w:rsid w:val="115C3879"/>
    <w:rsid w:val="3E8D4089"/>
    <w:rsid w:val="45003B69"/>
    <w:rsid w:val="54D64DCD"/>
    <w:rsid w:val="6AE5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1955</Words>
  <Characters>1982</Characters>
  <Lines>0</Lines>
  <Paragraphs>0</Paragraphs>
  <TotalTime>82</TotalTime>
  <ScaleCrop>false</ScaleCrop>
  <LinksUpToDate>false</LinksUpToDate>
  <CharactersWithSpaces>2040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2022-06-27T06:23:00Z</dcterms:created>
  <dc:creator>Administrator</dc:creator>
  <cp:lastModifiedBy>@</cp:lastModifiedBy>
  <cp:lastPrinted>2023-09-27T03:21:00Z</cp:lastPrinted>
  <dcterms:modified xsi:type="dcterms:W3CDTF">2023-11-01T08:34:52Z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0FCC5044A22E4A97A74A4903066CC3E6</vt:lpwstr>
  </property>
</Properties>
</file>