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08708">
      <w:pPr>
        <w:spacing w:line="408" w:lineRule="auto"/>
        <w:rPr>
          <w:rFonts w:hint="eastAsia" w:eastAsia="宋体"/>
          <w:sz w:val="32"/>
          <w:szCs w:val="32"/>
          <w:lang w:val="en-US" w:eastAsia="zh-CN"/>
        </w:rPr>
      </w:pPr>
      <w:r>
        <w:rPr>
          <w:rFonts w:hint="eastAsia" w:eastAsia="宋体"/>
          <w:sz w:val="32"/>
          <w:szCs w:val="32"/>
          <w:lang w:val="en-US" w:eastAsia="zh-CN"/>
        </w:rPr>
        <w:t>附件3</w:t>
      </w:r>
    </w:p>
    <w:p w14:paraId="27708708">
      <w:pPr>
        <w:spacing w:before="0" w:line="408" w:lineRule="auto"/>
        <w:ind w:left="0" w:right="0" w:firstLine="0" w:firstLineChars="0"/>
        <w:jc w:val="center"/>
        <w:rPr>
          <w:rFonts w:ascii="宋体" w:hAnsi="宋体" w:eastAsia="宋体" w:cs="宋体"/>
          <w:b/>
          <w:bCs/>
          <w:spacing w:val="-23"/>
          <w:sz w:val="44"/>
          <w:szCs w:val="44"/>
        </w:rPr>
      </w:pPr>
      <w:r>
        <w:rPr>
          <w:rFonts w:ascii="宋体" w:hAnsi="宋体" w:eastAsia="宋体" w:cs="宋体"/>
          <w:b/>
          <w:bCs/>
          <w:spacing w:val="-23"/>
          <w:sz w:val="44"/>
          <w:szCs w:val="44"/>
        </w:rPr>
        <w:t>广东外语外贸大学南国商学院</w:t>
      </w:r>
    </w:p>
    <w:p w14:paraId="27708708">
      <w:pPr>
        <w:spacing w:before="0" w:line="408" w:lineRule="auto"/>
        <w:ind w:left="0" w:right="0" w:firstLine="0" w:firstLineChars="0"/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ascii="宋体" w:hAnsi="宋体" w:eastAsia="宋体" w:cs="宋体"/>
          <w:b/>
          <w:bCs/>
          <w:spacing w:val="2"/>
          <w:sz w:val="44"/>
          <w:szCs w:val="44"/>
        </w:rPr>
        <w:t>微专业建设与管理办法</w:t>
      </w:r>
      <w:r>
        <w:rPr>
          <w:rFonts w:hint="eastAsia" w:ascii="宋体" w:hAnsi="宋体" w:eastAsia="宋体" w:cs="宋体"/>
          <w:b/>
          <w:bCs/>
          <w:spacing w:val="2"/>
          <w:sz w:val="44"/>
          <w:szCs w:val="4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2"/>
          <w:sz w:val="44"/>
          <w:szCs w:val="44"/>
          <w:lang w:val="en-US" w:eastAsia="zh-CN"/>
        </w:rPr>
        <w:t>征求意见稿</w:t>
      </w:r>
      <w:r>
        <w:rPr>
          <w:rFonts w:hint="eastAsia" w:ascii="宋体" w:hAnsi="宋体" w:eastAsia="宋体" w:cs="宋体"/>
          <w:b/>
          <w:bCs/>
          <w:spacing w:val="2"/>
          <w:sz w:val="44"/>
          <w:szCs w:val="44"/>
          <w:lang w:eastAsia="zh-CN"/>
        </w:rPr>
        <w:t>）</w:t>
      </w:r>
      <w:bookmarkStart w:id="0" w:name="_GoBack"/>
      <w:bookmarkEnd w:id="0"/>
    </w:p>
    <w:p w14:paraId="0303B6D6">
      <w:pPr>
        <w:spacing w:line="280" w:lineRule="auto"/>
        <w:rPr>
          <w:rFonts w:ascii="Arial"/>
          <w:sz w:val="32"/>
          <w:szCs w:val="32"/>
        </w:rPr>
      </w:pPr>
    </w:p>
    <w:p w14:paraId="6ABC179F">
      <w:pPr>
        <w:spacing w:line="280" w:lineRule="auto"/>
        <w:rPr>
          <w:rFonts w:ascii="Arial"/>
          <w:sz w:val="32"/>
          <w:szCs w:val="32"/>
        </w:rPr>
      </w:pPr>
    </w:p>
    <w:p w14:paraId="0A7291D9">
      <w:pPr>
        <w:spacing w:line="281" w:lineRule="auto"/>
        <w:rPr>
          <w:rFonts w:ascii="Arial"/>
          <w:sz w:val="32"/>
          <w:szCs w:val="32"/>
        </w:rPr>
      </w:pPr>
    </w:p>
    <w:p w14:paraId="39086C0F">
      <w:pPr>
        <w:spacing w:before="104" w:line="222" w:lineRule="auto"/>
        <w:ind w:left="3157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6"/>
          <w:sz w:val="32"/>
          <w:szCs w:val="32"/>
        </w:rPr>
        <w:t>第一章</w:t>
      </w:r>
      <w:r>
        <w:rPr>
          <w:rFonts w:ascii="黑体" w:hAnsi="黑体" w:eastAsia="黑体" w:cs="黑体"/>
          <w:spacing w:val="-3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3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2"/>
          <w:szCs w:val="32"/>
        </w:rPr>
        <w:t>总</w:t>
      </w:r>
      <w:r>
        <w:rPr>
          <w:rFonts w:ascii="黑体" w:hAnsi="黑体" w:eastAsia="黑体" w:cs="黑体"/>
          <w:spacing w:val="-38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32"/>
          <w:szCs w:val="32"/>
        </w:rPr>
        <w:t>则</w:t>
      </w:r>
    </w:p>
    <w:p w14:paraId="631071EB">
      <w:pPr>
        <w:spacing w:line="369" w:lineRule="auto"/>
        <w:rPr>
          <w:rFonts w:ascii="Arial"/>
          <w:sz w:val="32"/>
          <w:szCs w:val="32"/>
        </w:rPr>
      </w:pPr>
    </w:p>
    <w:p w14:paraId="6AA4B1B4">
      <w:pPr>
        <w:pStyle w:val="3"/>
        <w:spacing w:before="104" w:line="299" w:lineRule="auto"/>
        <w:ind w:left="0" w:right="210" w:firstLine="596" w:firstLineChars="200"/>
        <w:jc w:val="both"/>
      </w:pPr>
      <w:r>
        <w:rPr>
          <w:rFonts w:ascii="黑体" w:hAnsi="黑体" w:eastAsia="黑体" w:cs="黑体"/>
          <w:spacing w:val="-11"/>
        </w:rPr>
        <w:t>第一条</w:t>
      </w:r>
      <w:r>
        <w:rPr>
          <w:rFonts w:ascii="黑体" w:hAnsi="黑体" w:eastAsia="黑体" w:cs="黑体"/>
          <w:spacing w:val="-56"/>
        </w:rPr>
        <w:t xml:space="preserve"> </w:t>
      </w:r>
      <w:r>
        <w:rPr>
          <w:spacing w:val="-11"/>
        </w:rPr>
        <w:t>为创新跨学科跨专业人才培养模式，培养高素质</w:t>
      </w:r>
      <w:r>
        <w:t xml:space="preserve"> </w:t>
      </w:r>
      <w:r>
        <w:rPr>
          <w:spacing w:val="-8"/>
        </w:rPr>
        <w:t>复合型应用型人才，提高学生从业竞争力和对未来社会适应</w:t>
      </w:r>
      <w:r>
        <w:rPr>
          <w:spacing w:val="9"/>
        </w:rPr>
        <w:t xml:space="preserve"> </w:t>
      </w:r>
      <w:r>
        <w:rPr>
          <w:spacing w:val="-9"/>
        </w:rPr>
        <w:t>力，根据国家“四新”建设文件精神，结合学校实际，特制</w:t>
      </w:r>
      <w:r>
        <w:rPr>
          <w:spacing w:val="-18"/>
        </w:rPr>
        <w:t>定本办法。</w:t>
      </w:r>
    </w:p>
    <w:p w14:paraId="1DCC1D07">
      <w:pPr>
        <w:pStyle w:val="3"/>
        <w:spacing w:before="58" w:line="296" w:lineRule="auto"/>
        <w:ind w:left="0" w:right="221" w:firstLine="636" w:firstLineChars="200"/>
        <w:jc w:val="both"/>
      </w:pPr>
      <w:r>
        <w:rPr>
          <w:rFonts w:ascii="黑体" w:hAnsi="黑体" w:eastAsia="黑体" w:cs="黑体"/>
          <w:spacing w:val="-1"/>
        </w:rPr>
        <w:t>第二条</w:t>
      </w:r>
      <w:r>
        <w:rPr>
          <w:rFonts w:ascii="黑体" w:hAnsi="黑体" w:eastAsia="黑体" w:cs="黑体"/>
          <w:spacing w:val="-41"/>
        </w:rPr>
        <w:t xml:space="preserve"> </w:t>
      </w:r>
      <w:r>
        <w:rPr>
          <w:spacing w:val="-1"/>
        </w:rPr>
        <w:t>本办法所称微专业是指立足经济社会发展对人</w:t>
      </w:r>
      <w:r>
        <w:t xml:space="preserve"> </w:t>
      </w:r>
      <w:r>
        <w:rPr>
          <w:spacing w:val="-7"/>
        </w:rPr>
        <w:t>才的需求，在某个特定专业领域，围绕专业核心素养和行业</w:t>
      </w:r>
      <w:r>
        <w:rPr>
          <w:spacing w:val="11"/>
        </w:rPr>
        <w:t xml:space="preserve"> </w:t>
      </w:r>
      <w:r>
        <w:rPr>
          <w:spacing w:val="-10"/>
        </w:rPr>
        <w:t>从业能力，提炼开设的一组核心课程。</w:t>
      </w:r>
    </w:p>
    <w:p w14:paraId="7A60C89B">
      <w:pPr>
        <w:pStyle w:val="3"/>
        <w:spacing w:before="70" w:line="290" w:lineRule="auto"/>
        <w:ind w:left="0" w:right="191" w:firstLine="648" w:firstLineChars="200"/>
      </w:pPr>
      <w:r>
        <w:rPr>
          <w:rFonts w:ascii="黑体" w:hAnsi="黑体" w:eastAsia="黑体" w:cs="黑体"/>
          <w:spacing w:val="2"/>
        </w:rPr>
        <w:t>第三条</w:t>
      </w:r>
      <w:r>
        <w:rPr>
          <w:rFonts w:ascii="黑体" w:hAnsi="黑体" w:eastAsia="黑体" w:cs="黑体"/>
          <w:spacing w:val="-26"/>
        </w:rPr>
        <w:t xml:space="preserve"> </w:t>
      </w:r>
      <w:r>
        <w:rPr>
          <w:spacing w:val="2"/>
        </w:rPr>
        <w:t>微专业可使用但不限于教育部本科专业目录内</w:t>
      </w:r>
      <w:r>
        <w:rPr>
          <w:spacing w:val="-19"/>
        </w:rPr>
        <w:t>的专业名称。</w:t>
      </w:r>
    </w:p>
    <w:p w14:paraId="0631163C">
      <w:pPr>
        <w:pStyle w:val="3"/>
        <w:spacing w:before="70" w:line="290" w:lineRule="auto"/>
        <w:ind w:left="62" w:right="191" w:firstLine="639"/>
        <w:jc w:val="left"/>
        <w:rPr>
          <w:rFonts w:hint="default" w:eastAsia="仿宋"/>
          <w:spacing w:val="2"/>
          <w:sz w:val="32"/>
          <w:szCs w:val="32"/>
          <w:lang w:eastAsia="zh-CN"/>
        </w:rPr>
      </w:pPr>
      <w:r>
        <w:rPr>
          <w:rFonts w:hint="default" w:ascii="黑体" w:hAnsi="黑体" w:eastAsia="黑体" w:cs="黑体"/>
          <w:spacing w:val="2"/>
          <w:lang w:val="en-US" w:eastAsia="zh-CN"/>
        </w:rPr>
        <w:t>第四条</w:t>
      </w:r>
      <w:r>
        <w:rPr>
          <w:rFonts w:hint="default" w:ascii="仿宋" w:hAnsi="仿宋" w:eastAsia="仿宋" w:cs="仿宋"/>
          <w:spacing w:val="2"/>
          <w:lang w:val="en-US" w:eastAsia="zh-CN"/>
        </w:rPr>
        <w:t xml:space="preserve"> 微专业建设坚持需求导向，</w:t>
      </w:r>
      <w:r>
        <w:rPr>
          <w:spacing w:val="2"/>
        </w:rPr>
        <w:t>面向未来产业</w:t>
      </w:r>
      <w:r>
        <w:rPr>
          <w:rFonts w:hint="default"/>
          <w:spacing w:val="2"/>
          <w:lang w:val="en-US" w:eastAsia="zh-CN"/>
        </w:rPr>
        <w:t>和社会发展人才急需；</w:t>
      </w:r>
      <w:r>
        <w:rPr>
          <w:spacing w:val="2"/>
        </w:rPr>
        <w:t>坚持问题导向</w:t>
      </w:r>
      <w:r>
        <w:rPr>
          <w:rFonts w:hint="default" w:ascii="仿宋" w:hAnsi="仿宋" w:cs="仿宋"/>
          <w:spacing w:val="2"/>
          <w:lang w:val="en-US" w:eastAsia="zh-CN"/>
        </w:rPr>
        <w:t>，</w:t>
      </w:r>
      <w:r>
        <w:rPr>
          <w:spacing w:val="2"/>
        </w:rPr>
        <w:t>立足补齐知</w:t>
      </w:r>
      <w:r>
        <w:rPr>
          <w:spacing w:val="2"/>
          <w:sz w:val="32"/>
          <w:szCs w:val="32"/>
        </w:rPr>
        <w:t>识和技能结构短板</w:t>
      </w:r>
      <w:r>
        <w:rPr>
          <w:rFonts w:hint="default"/>
          <w:spacing w:val="2"/>
          <w:sz w:val="32"/>
          <w:szCs w:val="32"/>
          <w:lang w:eastAsia="zh-CN"/>
        </w:rPr>
        <w:t>；</w:t>
      </w:r>
      <w:r>
        <w:rPr>
          <w:spacing w:val="2"/>
          <w:sz w:val="32"/>
          <w:szCs w:val="32"/>
        </w:rPr>
        <w:t>坚持效果导向</w:t>
      </w:r>
      <w:r>
        <w:rPr>
          <w:rFonts w:hint="default"/>
          <w:spacing w:val="2"/>
          <w:sz w:val="32"/>
          <w:szCs w:val="32"/>
          <w:lang w:eastAsia="zh-CN"/>
        </w:rPr>
        <w:t>，</w:t>
      </w:r>
      <w:r>
        <w:rPr>
          <w:spacing w:val="2"/>
          <w:sz w:val="32"/>
          <w:szCs w:val="32"/>
        </w:rPr>
        <w:t>将促就业实效</w:t>
      </w:r>
      <w:r>
        <w:rPr>
          <w:rFonts w:hint="default"/>
          <w:spacing w:val="2"/>
          <w:sz w:val="32"/>
          <w:szCs w:val="32"/>
          <w:lang w:val="en-US" w:eastAsia="zh-CN"/>
        </w:rPr>
        <w:t>作为</w:t>
      </w:r>
      <w:r>
        <w:rPr>
          <w:spacing w:val="2"/>
          <w:sz w:val="32"/>
          <w:szCs w:val="32"/>
        </w:rPr>
        <w:t>重要导向</w:t>
      </w:r>
      <w:r>
        <w:rPr>
          <w:rFonts w:hint="default"/>
          <w:spacing w:val="2"/>
          <w:sz w:val="32"/>
          <w:szCs w:val="32"/>
          <w:lang w:eastAsia="zh-CN"/>
        </w:rPr>
        <w:t>。</w:t>
      </w:r>
    </w:p>
    <w:p w14:paraId="5F885651">
      <w:pPr>
        <w:pStyle w:val="3"/>
        <w:spacing w:before="18" w:line="291" w:lineRule="auto"/>
        <w:ind w:left="0" w:right="119" w:firstLine="618"/>
        <w:jc w:val="both"/>
        <w:rPr>
          <w:spacing w:val="2"/>
        </w:rPr>
      </w:pPr>
      <w:r>
        <w:rPr>
          <w:rFonts w:ascii="黑体" w:hAnsi="黑体" w:eastAsia="黑体" w:cs="黑体"/>
          <w:spacing w:val="1"/>
        </w:rPr>
        <w:t>第</w:t>
      </w:r>
      <w:r>
        <w:rPr>
          <w:rFonts w:hint="eastAsia" w:ascii="黑体" w:hAnsi="黑体" w:eastAsia="黑体" w:cs="黑体"/>
          <w:spacing w:val="1"/>
          <w:lang w:val="en-US" w:eastAsia="zh-CN"/>
        </w:rPr>
        <w:t>五</w:t>
      </w:r>
      <w:r>
        <w:rPr>
          <w:rFonts w:ascii="黑体" w:hAnsi="黑体" w:eastAsia="黑体" w:cs="黑体"/>
          <w:spacing w:val="1"/>
        </w:rPr>
        <w:t>条</w:t>
      </w:r>
      <w:r>
        <w:rPr>
          <w:rFonts w:ascii="黑体" w:hAnsi="黑体" w:eastAsia="黑体" w:cs="黑体"/>
          <w:spacing w:val="-21"/>
        </w:rPr>
        <w:t xml:space="preserve"> </w:t>
      </w:r>
      <w:r>
        <w:rPr>
          <w:spacing w:val="2"/>
        </w:rPr>
        <w:t>鼓励将国家行政管理机构或行业认可的职业资 格证书(技能等级证书)考证培训嵌入微专业，助力学生参 加权威职业资格(技能等级证书)考试；鼓励与其他高等学 校、相关研究机构、行业企业等校外单位共建学校现有本科专业以外的微专业。</w:t>
      </w:r>
    </w:p>
    <w:p w14:paraId="29689B06">
      <w:pPr>
        <w:spacing w:line="258" w:lineRule="auto"/>
        <w:rPr>
          <w:rFonts w:ascii="Arial"/>
          <w:sz w:val="32"/>
          <w:szCs w:val="32"/>
        </w:rPr>
      </w:pPr>
    </w:p>
    <w:p w14:paraId="081AAB4D">
      <w:pPr>
        <w:spacing w:before="104" w:line="222" w:lineRule="auto"/>
        <w:ind w:left="3127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5"/>
          <w:sz w:val="32"/>
          <w:szCs w:val="32"/>
        </w:rPr>
        <w:t>第二章</w:t>
      </w:r>
      <w:r>
        <w:rPr>
          <w:rFonts w:hint="eastAsia" w:ascii="黑体" w:hAnsi="黑体" w:eastAsia="黑体" w:cs="黑体"/>
          <w:b/>
          <w:bCs/>
          <w:spacing w:val="5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5"/>
          <w:sz w:val="32"/>
          <w:szCs w:val="32"/>
        </w:rPr>
        <w:t>微专业设置</w:t>
      </w:r>
    </w:p>
    <w:p w14:paraId="3DE112A1">
      <w:pPr>
        <w:spacing w:line="329" w:lineRule="auto"/>
        <w:rPr>
          <w:rFonts w:ascii="Arial"/>
          <w:sz w:val="32"/>
          <w:szCs w:val="32"/>
        </w:rPr>
      </w:pPr>
    </w:p>
    <w:p w14:paraId="23AA3442">
      <w:pPr>
        <w:pStyle w:val="3"/>
        <w:spacing w:before="104" w:line="221" w:lineRule="auto"/>
        <w:ind w:left="707"/>
        <w:rPr>
          <w:sz w:val="32"/>
          <w:szCs w:val="32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第</w:t>
      </w:r>
      <w:r>
        <w:rPr>
          <w:rFonts w:hint="eastAsia" w:ascii="黑体" w:hAnsi="黑体" w:eastAsia="黑体" w:cs="黑体"/>
          <w:b/>
          <w:bCs/>
          <w:spacing w:val="-10"/>
          <w:sz w:val="32"/>
          <w:szCs w:val="32"/>
          <w:lang w:val="en-US" w:eastAsia="zh-CN"/>
        </w:rPr>
        <w:t>六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条</w:t>
      </w:r>
      <w:r>
        <w:rPr>
          <w:rFonts w:ascii="黑体" w:hAnsi="黑体" w:eastAsia="黑体" w:cs="黑体"/>
          <w:spacing w:val="-45"/>
          <w:sz w:val="32"/>
          <w:szCs w:val="32"/>
        </w:rPr>
        <w:t xml:space="preserve"> </w:t>
      </w:r>
      <w:r>
        <w:rPr>
          <w:spacing w:val="-10"/>
          <w:sz w:val="32"/>
          <w:szCs w:val="32"/>
        </w:rPr>
        <w:t>微专业设置须符合以下条件：</w:t>
      </w:r>
    </w:p>
    <w:p w14:paraId="76871892">
      <w:pPr>
        <w:pStyle w:val="3"/>
        <w:spacing w:before="149" w:line="301" w:lineRule="auto"/>
        <w:ind w:left="62" w:right="225" w:firstLine="769"/>
        <w:rPr>
          <w:sz w:val="32"/>
          <w:szCs w:val="32"/>
        </w:rPr>
      </w:pPr>
      <w:r>
        <w:rPr>
          <w:spacing w:val="-1"/>
          <w:sz w:val="32"/>
          <w:szCs w:val="32"/>
        </w:rPr>
        <w:t>(一)微专业紧密围绕立德树人根本任务，坚持以学生</w:t>
      </w:r>
      <w:r>
        <w:rPr>
          <w:spacing w:val="-7"/>
          <w:sz w:val="32"/>
          <w:szCs w:val="32"/>
        </w:rPr>
        <w:t>为中心，遵循高等教育教学规律和学生成长成才规律，符合</w:t>
      </w:r>
      <w:r>
        <w:rPr>
          <w:spacing w:val="8"/>
          <w:sz w:val="32"/>
          <w:szCs w:val="32"/>
        </w:rPr>
        <w:t xml:space="preserve"> </w:t>
      </w:r>
      <w:r>
        <w:rPr>
          <w:spacing w:val="-12"/>
          <w:sz w:val="32"/>
          <w:szCs w:val="32"/>
        </w:rPr>
        <w:t>学校本科人才培养目标定位；</w:t>
      </w:r>
    </w:p>
    <w:p w14:paraId="13998DEF">
      <w:pPr>
        <w:pStyle w:val="3"/>
        <w:spacing w:before="127" w:line="294" w:lineRule="auto"/>
        <w:ind w:left="74" w:firstLine="750"/>
        <w:rPr>
          <w:sz w:val="32"/>
          <w:szCs w:val="32"/>
        </w:rPr>
      </w:pPr>
      <w:r>
        <w:rPr>
          <w:spacing w:val="-6"/>
          <w:sz w:val="32"/>
          <w:szCs w:val="32"/>
        </w:rPr>
        <w:t>(二)微专业名称规范，有科学、规范的专业培养方案，</w:t>
      </w:r>
      <w:r>
        <w:rPr>
          <w:spacing w:val="15"/>
          <w:sz w:val="32"/>
          <w:szCs w:val="32"/>
        </w:rPr>
        <w:t xml:space="preserve"> </w:t>
      </w:r>
      <w:r>
        <w:rPr>
          <w:spacing w:val="-7"/>
          <w:sz w:val="32"/>
          <w:szCs w:val="32"/>
        </w:rPr>
        <w:t>培养目标定位清晰，知识、能力、素质规格明确，课程设置</w:t>
      </w:r>
      <w:r>
        <w:rPr>
          <w:spacing w:val="-15"/>
          <w:sz w:val="32"/>
          <w:szCs w:val="32"/>
        </w:rPr>
        <w:t>科学合理；</w:t>
      </w:r>
    </w:p>
    <w:p w14:paraId="53D1EB3A">
      <w:pPr>
        <w:pStyle w:val="3"/>
        <w:spacing w:before="220" w:line="296" w:lineRule="auto"/>
        <w:ind w:left="74" w:right="153" w:firstLine="750"/>
        <w:rPr>
          <w:sz w:val="32"/>
          <w:szCs w:val="32"/>
        </w:rPr>
      </w:pPr>
      <w:r>
        <w:rPr>
          <w:spacing w:val="1"/>
          <w:sz w:val="32"/>
          <w:szCs w:val="32"/>
        </w:rPr>
        <w:t>(三)微专业负责人原则上具有高级职称，教学管理经</w:t>
      </w:r>
      <w:r>
        <w:rPr>
          <w:spacing w:val="7"/>
          <w:sz w:val="32"/>
          <w:szCs w:val="32"/>
        </w:rPr>
        <w:t xml:space="preserve"> </w:t>
      </w:r>
      <w:r>
        <w:rPr>
          <w:spacing w:val="-1"/>
          <w:sz w:val="32"/>
          <w:szCs w:val="32"/>
        </w:rPr>
        <w:t>验丰富，至少主讲1门微专业课程。微专业教学团队成员不</w:t>
      </w:r>
      <w:r>
        <w:rPr>
          <w:spacing w:val="-3"/>
          <w:sz w:val="32"/>
          <w:szCs w:val="32"/>
        </w:rPr>
        <w:t>少于3人且能稳定承担微专业课程建设和教学任务；</w:t>
      </w:r>
    </w:p>
    <w:p w14:paraId="109A9A3F">
      <w:pPr>
        <w:pStyle w:val="3"/>
        <w:spacing w:before="202" w:line="279" w:lineRule="auto"/>
        <w:ind w:left="74" w:right="172" w:firstLine="750"/>
        <w:rPr>
          <w:sz w:val="32"/>
          <w:szCs w:val="32"/>
        </w:rPr>
      </w:pPr>
      <w:r>
        <w:rPr>
          <w:spacing w:val="13"/>
          <w:sz w:val="32"/>
          <w:szCs w:val="32"/>
        </w:rPr>
        <w:t>(四)每个微专业原则上开设5-10门课程，每门课程</w:t>
      </w:r>
      <w:r>
        <w:rPr>
          <w:spacing w:val="3"/>
          <w:sz w:val="32"/>
          <w:szCs w:val="32"/>
        </w:rPr>
        <w:t>2-3学分，总学分控制在10-20学分；</w:t>
      </w:r>
    </w:p>
    <w:p w14:paraId="0C2759DE">
      <w:pPr>
        <w:pStyle w:val="3"/>
        <w:spacing w:before="177" w:line="303" w:lineRule="auto"/>
        <w:ind w:left="74" w:right="140" w:firstLine="750"/>
      </w:pPr>
      <w:r>
        <w:rPr>
          <w:spacing w:val="1"/>
          <w:sz w:val="32"/>
          <w:szCs w:val="32"/>
        </w:rPr>
        <w:t>(</w:t>
      </w:r>
      <w:r>
        <w:rPr>
          <w:rFonts w:hint="eastAsia"/>
          <w:spacing w:val="1"/>
          <w:sz w:val="32"/>
          <w:szCs w:val="32"/>
          <w:lang w:val="en-US" w:eastAsia="zh-CN"/>
        </w:rPr>
        <w:t>五</w:t>
      </w:r>
      <w:r>
        <w:rPr>
          <w:spacing w:val="1"/>
          <w:sz w:val="32"/>
          <w:szCs w:val="32"/>
        </w:rPr>
        <w:t>)开设学院能从政策、人员、经费、场地等方面支</w:t>
      </w:r>
      <w:r>
        <w:rPr>
          <w:spacing w:val="-7"/>
          <w:sz w:val="32"/>
          <w:szCs w:val="32"/>
        </w:rPr>
        <w:t>持微专业建设。开设学校现有本科专业以外的微专业，如需引进急需重要教学资源，可向学校申请专项资助，专项资助</w:t>
      </w:r>
      <w:r>
        <w:rPr>
          <w:spacing w:val="-15"/>
          <w:sz w:val="32"/>
          <w:szCs w:val="32"/>
        </w:rPr>
        <w:t>经费专款专用。</w:t>
      </w:r>
    </w:p>
    <w:p w14:paraId="29745064">
      <w:pPr>
        <w:pStyle w:val="3"/>
        <w:spacing w:before="209" w:line="222" w:lineRule="auto"/>
        <w:ind w:left="739"/>
      </w:pPr>
      <w:r>
        <w:rPr>
          <w:rFonts w:ascii="黑体" w:hAnsi="黑体" w:eastAsia="黑体" w:cs="黑体"/>
          <w:b/>
          <w:bCs/>
          <w:spacing w:val="-3"/>
        </w:rPr>
        <w:t>第</w:t>
      </w:r>
      <w:r>
        <w:rPr>
          <w:rFonts w:hint="eastAsia" w:ascii="黑体" w:hAnsi="黑体" w:eastAsia="黑体" w:cs="黑体"/>
          <w:b/>
          <w:bCs/>
          <w:spacing w:val="-3"/>
          <w:lang w:val="en-US" w:eastAsia="zh-CN"/>
        </w:rPr>
        <w:t>七</w:t>
      </w:r>
      <w:r>
        <w:rPr>
          <w:rFonts w:ascii="黑体" w:hAnsi="黑体" w:eastAsia="黑体" w:cs="黑体"/>
          <w:b/>
          <w:bCs/>
          <w:spacing w:val="-3"/>
        </w:rPr>
        <w:t>条</w:t>
      </w:r>
      <w:r>
        <w:rPr>
          <w:rFonts w:ascii="黑体" w:hAnsi="黑体" w:eastAsia="黑体" w:cs="黑体"/>
          <w:spacing w:val="-75"/>
        </w:rPr>
        <w:t xml:space="preserve"> </w:t>
      </w:r>
      <w:r>
        <w:rPr>
          <w:spacing w:val="-7"/>
          <w:sz w:val="32"/>
          <w:szCs w:val="32"/>
        </w:rPr>
        <w:t>微专业设置程序</w:t>
      </w:r>
    </w:p>
    <w:p w14:paraId="56704258">
      <w:pPr>
        <w:pStyle w:val="3"/>
        <w:spacing w:before="191" w:line="279" w:lineRule="auto"/>
        <w:ind w:left="74" w:right="152" w:firstLine="750"/>
      </w:pPr>
      <w:r>
        <w:rPr>
          <w:spacing w:val="1"/>
        </w:rPr>
        <w:t>(一)开设学院在充分调研论证的基础上，向教务处提</w:t>
      </w:r>
      <w:r>
        <w:rPr>
          <w:spacing w:val="8"/>
        </w:rPr>
        <w:t xml:space="preserve"> </w:t>
      </w:r>
      <w:r>
        <w:rPr>
          <w:spacing w:val="-10"/>
        </w:rPr>
        <w:t>交开办微专业申报书、培养方案和课程教学大纲；</w:t>
      </w:r>
    </w:p>
    <w:p w14:paraId="060DE3A8">
      <w:pPr>
        <w:pStyle w:val="3"/>
        <w:spacing w:before="185" w:line="280" w:lineRule="auto"/>
        <w:ind w:left="74" w:right="153" w:firstLine="750"/>
      </w:pPr>
      <w:r>
        <w:rPr>
          <w:spacing w:val="1"/>
        </w:rPr>
        <w:t>(二)在学校现有本科专业以内的微专业，通过教务处</w:t>
      </w:r>
      <w:r>
        <w:rPr>
          <w:spacing w:val="7"/>
        </w:rPr>
        <w:t xml:space="preserve"> </w:t>
      </w:r>
      <w:r>
        <w:rPr>
          <w:spacing w:val="-14"/>
        </w:rPr>
        <w:t>形式审查后设置；</w:t>
      </w:r>
    </w:p>
    <w:p w14:paraId="2436371E">
      <w:pPr>
        <w:pStyle w:val="3"/>
        <w:spacing w:before="188" w:line="307" w:lineRule="auto"/>
        <w:ind w:left="74" w:right="151" w:firstLine="750"/>
      </w:pPr>
      <w:r>
        <w:rPr>
          <w:spacing w:val="1"/>
        </w:rPr>
        <w:t>(三)在学校现有本科专业以外的微专业，如不申请专</w:t>
      </w:r>
      <w:r>
        <w:rPr>
          <w:spacing w:val="10"/>
        </w:rPr>
        <w:t xml:space="preserve"> </w:t>
      </w:r>
      <w:r>
        <w:rPr>
          <w:spacing w:val="-7"/>
        </w:rPr>
        <w:t>项资助，经教务处组织专家评审、校教学指导委员会审议通</w:t>
      </w:r>
      <w:r>
        <w:rPr>
          <w:spacing w:val="5"/>
        </w:rPr>
        <w:t xml:space="preserve"> </w:t>
      </w:r>
      <w:r>
        <w:rPr>
          <w:spacing w:val="-7"/>
        </w:rPr>
        <w:t>过后设置；如申请专项资助，经教务处组织专家评审</w:t>
      </w:r>
      <w:r>
        <w:rPr>
          <w:rFonts w:hint="eastAsia"/>
          <w:spacing w:val="-7"/>
          <w:lang w:eastAsia="zh-CN"/>
        </w:rPr>
        <w:t>、</w:t>
      </w:r>
      <w:r>
        <w:rPr>
          <w:spacing w:val="-7"/>
        </w:rPr>
        <w:t>校教</w:t>
      </w:r>
      <w:r>
        <w:rPr>
          <w:spacing w:val="1"/>
        </w:rPr>
        <w:t xml:space="preserve"> </w:t>
      </w:r>
      <w:r>
        <w:rPr>
          <w:spacing w:val="-9"/>
        </w:rPr>
        <w:t>学指导委员会审议和学校党政联席会议审定后设置。</w:t>
      </w:r>
    </w:p>
    <w:p w14:paraId="59FE89D1">
      <w:pPr>
        <w:spacing w:before="184" w:line="221" w:lineRule="auto"/>
        <w:ind w:left="2531"/>
        <w:outlineLvl w:val="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4"/>
          <w:sz w:val="32"/>
          <w:szCs w:val="32"/>
        </w:rPr>
        <w:t>第三章</w:t>
      </w:r>
      <w:r>
        <w:rPr>
          <w:rFonts w:hint="eastAsia" w:ascii="黑体" w:hAnsi="黑体" w:eastAsia="黑体" w:cs="黑体"/>
          <w:b/>
          <w:bCs/>
          <w:spacing w:val="4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4"/>
          <w:sz w:val="32"/>
          <w:szCs w:val="32"/>
        </w:rPr>
        <w:t>教学组织与管理</w:t>
      </w:r>
    </w:p>
    <w:p w14:paraId="51D97935">
      <w:pPr>
        <w:spacing w:line="363" w:lineRule="auto"/>
        <w:rPr>
          <w:rFonts w:ascii="Arial"/>
          <w:sz w:val="32"/>
          <w:szCs w:val="32"/>
        </w:rPr>
      </w:pPr>
    </w:p>
    <w:p w14:paraId="2E984C8D">
      <w:pPr>
        <w:pStyle w:val="3"/>
        <w:spacing w:before="104" w:line="303" w:lineRule="auto"/>
        <w:ind w:left="66" w:right="226" w:firstLine="644"/>
      </w:pPr>
      <w:r>
        <w:rPr>
          <w:rFonts w:ascii="黑体" w:hAnsi="黑体" w:eastAsia="黑体" w:cs="黑体"/>
          <w:b/>
          <w:bCs/>
          <w:spacing w:val="-12"/>
        </w:rPr>
        <w:t>第</w:t>
      </w:r>
      <w:r>
        <w:rPr>
          <w:rFonts w:hint="eastAsia" w:ascii="黑体" w:hAnsi="黑体" w:eastAsia="黑体" w:cs="黑体"/>
          <w:b/>
          <w:bCs/>
          <w:spacing w:val="-12"/>
          <w:lang w:val="en-US" w:eastAsia="zh-CN"/>
        </w:rPr>
        <w:t>八</w:t>
      </w:r>
      <w:r>
        <w:rPr>
          <w:rFonts w:ascii="黑体" w:hAnsi="黑体" w:eastAsia="黑体" w:cs="黑体"/>
          <w:b/>
          <w:bCs/>
          <w:spacing w:val="-12"/>
        </w:rPr>
        <w:t>条</w:t>
      </w:r>
      <w:r>
        <w:rPr>
          <w:rFonts w:ascii="黑体" w:hAnsi="黑体" w:eastAsia="黑体" w:cs="黑体"/>
          <w:spacing w:val="-38"/>
        </w:rPr>
        <w:t xml:space="preserve"> </w:t>
      </w:r>
      <w:r>
        <w:rPr>
          <w:spacing w:val="-12"/>
        </w:rPr>
        <w:t>微专业教学管理纳入学校本科教学管理体系</w:t>
      </w:r>
      <w:r>
        <w:rPr>
          <w:rFonts w:hint="eastAsia"/>
          <w:spacing w:val="-12"/>
          <w:lang w:eastAsia="zh-CN"/>
        </w:rPr>
        <w:t>，</w:t>
      </w:r>
      <w:r>
        <w:rPr>
          <w:spacing w:val="-12"/>
        </w:rPr>
        <w:t>教</w:t>
      </w:r>
      <w:r>
        <w:rPr>
          <w:spacing w:val="-13"/>
        </w:rPr>
        <w:t>学管理要求与主修专业相同。</w:t>
      </w:r>
    </w:p>
    <w:p w14:paraId="4A030756">
      <w:pPr>
        <w:pStyle w:val="3"/>
        <w:spacing w:before="60" w:line="306" w:lineRule="auto"/>
        <w:ind w:left="66" w:right="239" w:firstLine="640"/>
        <w:jc w:val="both"/>
      </w:pPr>
      <w:r>
        <w:rPr>
          <w:rFonts w:ascii="黑体" w:hAnsi="黑体" w:eastAsia="黑体" w:cs="黑体"/>
          <w:spacing w:val="-12"/>
        </w:rPr>
        <w:t>第</w:t>
      </w:r>
      <w:r>
        <w:rPr>
          <w:rFonts w:hint="eastAsia" w:ascii="黑体" w:hAnsi="黑体" w:eastAsia="黑体" w:cs="黑体"/>
          <w:spacing w:val="-12"/>
          <w:lang w:val="en-US" w:eastAsia="zh-CN"/>
        </w:rPr>
        <w:t>九</w:t>
      </w:r>
      <w:r>
        <w:rPr>
          <w:rFonts w:ascii="黑体" w:hAnsi="黑体" w:eastAsia="黑体" w:cs="黑体"/>
          <w:spacing w:val="-12"/>
        </w:rPr>
        <w:t>条</w:t>
      </w:r>
      <w:r>
        <w:rPr>
          <w:rFonts w:ascii="黑体" w:hAnsi="黑体" w:eastAsia="黑体" w:cs="黑体"/>
          <w:spacing w:val="-48"/>
        </w:rPr>
        <w:t xml:space="preserve"> </w:t>
      </w:r>
      <w:r>
        <w:rPr>
          <w:spacing w:val="-12"/>
        </w:rPr>
        <w:t>教务处负责制定微专业发展规划和政策、</w:t>
      </w:r>
      <w:r>
        <w:rPr>
          <w:spacing w:val="-13"/>
        </w:rPr>
        <w:t>组织开</w:t>
      </w:r>
      <w:r>
        <w:t xml:space="preserve"> </w:t>
      </w:r>
      <w:r>
        <w:rPr>
          <w:spacing w:val="-7"/>
        </w:rPr>
        <w:t>展微专业申报与评审、教学质量监控、成绩管理、证书授予</w:t>
      </w:r>
      <w:r>
        <w:rPr>
          <w:spacing w:val="17"/>
        </w:rPr>
        <w:t xml:space="preserve"> </w:t>
      </w:r>
      <w:r>
        <w:rPr>
          <w:spacing w:val="-10"/>
        </w:rPr>
        <w:t>资格复核以及证书印制和发放、微专业评估等。</w:t>
      </w:r>
    </w:p>
    <w:p w14:paraId="795A5C89">
      <w:pPr>
        <w:pStyle w:val="3"/>
        <w:spacing w:before="53" w:line="318" w:lineRule="auto"/>
        <w:ind w:left="66" w:right="246" w:firstLine="640"/>
        <w:jc w:val="both"/>
      </w:pPr>
      <w:r>
        <w:rPr>
          <w:rFonts w:ascii="黑体" w:hAnsi="黑体" w:eastAsia="黑体" w:cs="黑体"/>
          <w:spacing w:val="2"/>
        </w:rPr>
        <w:t>第</w:t>
      </w:r>
      <w:r>
        <w:rPr>
          <w:rFonts w:hint="eastAsia" w:ascii="黑体" w:hAnsi="黑体" w:eastAsia="黑体" w:cs="黑体"/>
          <w:spacing w:val="2"/>
          <w:lang w:val="en-US" w:eastAsia="zh-CN"/>
        </w:rPr>
        <w:t>十</w:t>
      </w:r>
      <w:r>
        <w:rPr>
          <w:rFonts w:ascii="黑体" w:hAnsi="黑体" w:eastAsia="黑体" w:cs="黑体"/>
          <w:spacing w:val="2"/>
        </w:rPr>
        <w:t>条</w:t>
      </w:r>
      <w:r>
        <w:rPr>
          <w:rFonts w:ascii="黑体" w:hAnsi="黑体" w:eastAsia="黑体" w:cs="黑体"/>
          <w:spacing w:val="-59"/>
        </w:rPr>
        <w:t xml:space="preserve"> </w:t>
      </w:r>
      <w:r>
        <w:rPr>
          <w:spacing w:val="2"/>
        </w:rPr>
        <w:t>开设学院负责制定微专业培养方案和课程教学</w:t>
      </w:r>
      <w:r>
        <w:t xml:space="preserve"> </w:t>
      </w:r>
      <w:r>
        <w:rPr>
          <w:spacing w:val="-7"/>
        </w:rPr>
        <w:t>大纲、组织学校现有本科专业以内微专业的论证和审议、开</w:t>
      </w:r>
      <w:r>
        <w:rPr>
          <w:spacing w:val="4"/>
        </w:rPr>
        <w:t xml:space="preserve"> </w:t>
      </w:r>
      <w:r>
        <w:rPr>
          <w:spacing w:val="-7"/>
        </w:rPr>
        <w:t>展学校现有本科专业以外微专业的申报与遴选、负责微专业课程教学安排、考试考核组织、成绩录入、证书授予资格审</w:t>
      </w:r>
      <w:r>
        <w:rPr>
          <w:spacing w:val="-13"/>
        </w:rPr>
        <w:t>核、档案管理等。</w:t>
      </w:r>
    </w:p>
    <w:p w14:paraId="4BA0BC38">
      <w:pPr>
        <w:pStyle w:val="3"/>
        <w:spacing w:before="52" w:line="311" w:lineRule="auto"/>
        <w:ind w:left="66" w:right="248" w:firstLine="640"/>
      </w:pPr>
      <w:r>
        <w:rPr>
          <w:rFonts w:ascii="黑体" w:hAnsi="黑体" w:eastAsia="黑体" w:cs="黑体"/>
          <w:spacing w:val="-1"/>
        </w:rPr>
        <w:t>第十</w:t>
      </w:r>
      <w:r>
        <w:rPr>
          <w:rFonts w:hint="eastAsia" w:ascii="黑体" w:hAnsi="黑体" w:eastAsia="黑体" w:cs="黑体"/>
          <w:spacing w:val="-1"/>
          <w:lang w:val="en-US" w:eastAsia="zh-CN"/>
        </w:rPr>
        <w:t>一</w:t>
      </w:r>
      <w:r>
        <w:rPr>
          <w:rFonts w:ascii="黑体" w:hAnsi="黑体" w:eastAsia="黑体" w:cs="黑体"/>
          <w:spacing w:val="-1"/>
        </w:rPr>
        <w:t xml:space="preserve">条 </w:t>
      </w:r>
      <w:r>
        <w:rPr>
          <w:spacing w:val="-1"/>
        </w:rPr>
        <w:t>非外语类微专业20人以上方可开班，外语</w:t>
      </w:r>
      <w:r>
        <w:rPr>
          <w:spacing w:val="-2"/>
        </w:rPr>
        <w:t>类微</w:t>
      </w:r>
      <w:r>
        <w:t xml:space="preserve"> </w:t>
      </w:r>
      <w:r>
        <w:rPr>
          <w:spacing w:val="-7"/>
        </w:rPr>
        <w:t>专业15人以上方可开班。未达到规定人数的，由开办学</w:t>
      </w:r>
      <w:r>
        <w:rPr>
          <w:spacing w:val="-12"/>
        </w:rPr>
        <w:t>院申请，经学校批准后可以开班。</w:t>
      </w:r>
    </w:p>
    <w:p w14:paraId="7A9C9BA7">
      <w:pPr>
        <w:pStyle w:val="3"/>
        <w:spacing w:before="57" w:line="300" w:lineRule="auto"/>
        <w:ind w:left="66" w:right="255" w:firstLine="640"/>
      </w:pPr>
      <w:r>
        <w:rPr>
          <w:rFonts w:ascii="黑体" w:hAnsi="黑体" w:eastAsia="黑体" w:cs="黑体"/>
          <w:spacing w:val="-13"/>
        </w:rPr>
        <w:t>第十</w:t>
      </w:r>
      <w:r>
        <w:rPr>
          <w:rFonts w:hint="eastAsia" w:ascii="黑体" w:hAnsi="黑体" w:eastAsia="黑体" w:cs="黑体"/>
          <w:spacing w:val="-13"/>
          <w:lang w:val="en-US" w:eastAsia="zh-CN"/>
        </w:rPr>
        <w:t>二</w:t>
      </w:r>
      <w:r>
        <w:rPr>
          <w:rFonts w:ascii="黑体" w:hAnsi="黑体" w:eastAsia="黑体" w:cs="黑体"/>
          <w:spacing w:val="-13"/>
        </w:rPr>
        <w:t>条</w:t>
      </w:r>
      <w:r>
        <w:rPr>
          <w:rFonts w:ascii="黑体" w:hAnsi="黑体" w:eastAsia="黑体" w:cs="黑体"/>
          <w:spacing w:val="-28"/>
        </w:rPr>
        <w:t xml:space="preserve"> </w:t>
      </w:r>
      <w:r>
        <w:rPr>
          <w:spacing w:val="-13"/>
        </w:rPr>
        <w:t>微专业实行单独编班教学，上课时间一般安排</w:t>
      </w:r>
      <w:r>
        <w:rPr>
          <w:spacing w:val="-11"/>
        </w:rPr>
        <w:t>在星期一至星期五的下午、晚上或周末。</w:t>
      </w:r>
    </w:p>
    <w:p w14:paraId="43FDD6C4">
      <w:pPr>
        <w:pStyle w:val="3"/>
        <w:spacing w:before="76" w:line="316" w:lineRule="auto"/>
        <w:ind w:left="0" w:right="136" w:firstLine="608" w:firstLineChars="200"/>
      </w:pPr>
      <w:r>
        <w:rPr>
          <w:rFonts w:ascii="黑体" w:hAnsi="黑体" w:eastAsia="黑体" w:cs="黑体"/>
          <w:spacing w:val="-8"/>
        </w:rPr>
        <w:t>第十</w:t>
      </w:r>
      <w:r>
        <w:rPr>
          <w:rFonts w:hint="eastAsia" w:ascii="黑体" w:hAnsi="黑体" w:eastAsia="黑体" w:cs="黑体"/>
          <w:spacing w:val="-8"/>
          <w:lang w:val="en-US" w:eastAsia="zh-CN"/>
        </w:rPr>
        <w:t>三</w:t>
      </w:r>
      <w:r>
        <w:rPr>
          <w:rFonts w:ascii="黑体" w:hAnsi="黑体" w:eastAsia="黑体" w:cs="黑体"/>
          <w:spacing w:val="-8"/>
        </w:rPr>
        <w:t>条</w:t>
      </w:r>
      <w:r>
        <w:rPr>
          <w:rFonts w:ascii="黑体" w:hAnsi="黑体" w:eastAsia="黑体" w:cs="黑体"/>
          <w:spacing w:val="-29"/>
        </w:rPr>
        <w:t xml:space="preserve"> </w:t>
      </w:r>
      <w:r>
        <w:rPr>
          <w:spacing w:val="-8"/>
        </w:rPr>
        <w:t>微专业课程成绩由平时成绩和期末成绩组成，</w:t>
      </w:r>
      <w:r>
        <w:rPr>
          <w:spacing w:val="-7"/>
        </w:rPr>
        <w:t>总评成绩达60分及以上视为通过课程学习要求，认</w:t>
      </w:r>
      <w:r>
        <w:rPr>
          <w:spacing w:val="-8"/>
        </w:rPr>
        <w:t>定相应学</w:t>
      </w:r>
      <w:r>
        <w:rPr>
          <w:spacing w:val="-7"/>
        </w:rPr>
        <w:t>分。课程期末考核一般安排在每学期第十六周进行。课程考核不合格，可补考一次；补考不及格应重修。补考安排在次</w:t>
      </w:r>
      <w:r>
        <w:rPr>
          <w:spacing w:val="-8"/>
        </w:rPr>
        <w:t>学期第二周进行。补考或重修及格，给予相应学分，课</w:t>
      </w:r>
      <w:r>
        <w:rPr>
          <w:spacing w:val="-9"/>
        </w:rPr>
        <w:t>程成</w:t>
      </w:r>
      <w:r>
        <w:rPr>
          <w:spacing w:val="7"/>
        </w:rPr>
        <w:t>绩记为60分，绩点记为1.0。</w:t>
      </w:r>
    </w:p>
    <w:p w14:paraId="5B4DA34D">
      <w:pPr>
        <w:pStyle w:val="3"/>
        <w:spacing w:before="49" w:line="320" w:lineRule="auto"/>
        <w:ind w:left="66" w:right="251" w:firstLine="640"/>
        <w:rPr>
          <w:rFonts w:hint="default" w:eastAsia="仿宋"/>
          <w:highlight w:val="none"/>
          <w:lang w:val="en-US" w:eastAsia="zh-CN"/>
        </w:rPr>
      </w:pPr>
      <w:r>
        <w:rPr>
          <w:rFonts w:ascii="黑体" w:hAnsi="黑体" w:eastAsia="黑体" w:cs="黑体"/>
          <w:spacing w:val="-1"/>
        </w:rPr>
        <w:t>第十</w:t>
      </w:r>
      <w:r>
        <w:rPr>
          <w:rFonts w:hint="eastAsia" w:ascii="黑体" w:hAnsi="黑体" w:eastAsia="黑体" w:cs="黑体"/>
          <w:spacing w:val="-1"/>
          <w:lang w:val="en-US" w:eastAsia="zh-CN"/>
        </w:rPr>
        <w:t>四</w:t>
      </w:r>
      <w:r>
        <w:rPr>
          <w:rFonts w:ascii="黑体" w:hAnsi="黑体" w:eastAsia="黑体" w:cs="黑体"/>
          <w:spacing w:val="-1"/>
        </w:rPr>
        <w:t xml:space="preserve">条 </w:t>
      </w:r>
      <w:r>
        <w:rPr>
          <w:spacing w:val="-1"/>
        </w:rPr>
        <w:t>微专业课程若与已修读的主修专业课程或通</w:t>
      </w:r>
      <w:r>
        <w:rPr>
          <w:spacing w:val="-7"/>
        </w:rPr>
        <w:t>识教育课程要求相同或高度相近，可按学校相关管理规定申</w:t>
      </w:r>
      <w:r>
        <w:rPr>
          <w:spacing w:val="-8"/>
        </w:rPr>
        <w:t>请免听或免修。获准课程免听的学生，须参加该课程的期末</w:t>
      </w:r>
      <w:r>
        <w:rPr>
          <w:spacing w:val="-9"/>
        </w:rPr>
        <w:t>考核；获准课程免修的学生，取得该课程的学分。</w:t>
      </w:r>
      <w:r>
        <w:rPr>
          <w:rFonts w:hint="eastAsia"/>
          <w:spacing w:val="-9"/>
          <w:highlight w:val="none"/>
          <w:lang w:val="en-US" w:eastAsia="zh-CN"/>
        </w:rPr>
        <w:t>未</w:t>
      </w:r>
      <w:r>
        <w:rPr>
          <w:spacing w:val="2"/>
          <w:highlight w:val="none"/>
        </w:rPr>
        <w:t>能完成微专业修读的本校学生</w:t>
      </w:r>
      <w:r>
        <w:rPr>
          <w:rFonts w:hint="eastAsia"/>
          <w:spacing w:val="2"/>
          <w:highlight w:val="none"/>
          <w:lang w:eastAsia="zh-CN"/>
        </w:rPr>
        <w:t>，</w:t>
      </w:r>
      <w:r>
        <w:rPr>
          <w:spacing w:val="2"/>
          <w:highlight w:val="none"/>
        </w:rPr>
        <w:t>已修读的微专</w:t>
      </w:r>
      <w:r>
        <w:rPr>
          <w:spacing w:val="3"/>
          <w:highlight w:val="none"/>
        </w:rPr>
        <w:t>业课程学分可替代</w:t>
      </w:r>
      <w:r>
        <w:rPr>
          <w:rFonts w:hint="eastAsia"/>
          <w:spacing w:val="3"/>
          <w:highlight w:val="none"/>
          <w:lang w:val="en-US" w:eastAsia="zh-CN"/>
        </w:rPr>
        <w:t>与微专业课程相同或高度相近的</w:t>
      </w:r>
      <w:r>
        <w:rPr>
          <w:spacing w:val="3"/>
          <w:highlight w:val="none"/>
        </w:rPr>
        <w:t>通识选修课学分。</w:t>
      </w:r>
    </w:p>
    <w:p w14:paraId="7235D77D">
      <w:pPr>
        <w:pStyle w:val="3"/>
        <w:spacing w:before="46" w:line="297" w:lineRule="auto"/>
        <w:ind w:left="134" w:right="119" w:firstLine="634"/>
      </w:pPr>
      <w:r>
        <w:rPr>
          <w:rFonts w:ascii="黑体" w:hAnsi="黑体" w:eastAsia="黑体" w:cs="黑体"/>
          <w:b/>
          <w:bCs/>
          <w:spacing w:val="-13"/>
        </w:rPr>
        <w:t>第十</w:t>
      </w:r>
      <w:r>
        <w:rPr>
          <w:rFonts w:hint="eastAsia" w:ascii="黑体" w:hAnsi="黑体" w:eastAsia="黑体" w:cs="黑体"/>
          <w:b/>
          <w:bCs/>
          <w:spacing w:val="-13"/>
          <w:lang w:val="en-US" w:eastAsia="zh-CN"/>
        </w:rPr>
        <w:t>五</w:t>
      </w:r>
      <w:r>
        <w:rPr>
          <w:rFonts w:ascii="黑体" w:hAnsi="黑体" w:eastAsia="黑体" w:cs="黑体"/>
          <w:b/>
          <w:bCs/>
          <w:spacing w:val="-13"/>
        </w:rPr>
        <w:t>条</w:t>
      </w:r>
      <w:r>
        <w:rPr>
          <w:rFonts w:ascii="黑体" w:hAnsi="黑体" w:eastAsia="黑体" w:cs="黑体"/>
          <w:spacing w:val="-47"/>
        </w:rPr>
        <w:t xml:space="preserve"> </w:t>
      </w:r>
      <w:r>
        <w:rPr>
          <w:spacing w:val="-13"/>
        </w:rPr>
        <w:t>有下列情形之一的，应终止微专业修读，并注</w:t>
      </w:r>
      <w:r>
        <w:t xml:space="preserve"> </w:t>
      </w:r>
      <w:r>
        <w:rPr>
          <w:spacing w:val="-16"/>
        </w:rPr>
        <w:t>销微专业学籍：</w:t>
      </w:r>
    </w:p>
    <w:p w14:paraId="167419F0">
      <w:pPr>
        <w:pStyle w:val="3"/>
        <w:spacing w:before="75" w:line="222" w:lineRule="auto"/>
        <w:ind w:left="904"/>
      </w:pPr>
      <w:r>
        <w:rPr>
          <w:spacing w:val="-2"/>
        </w:rPr>
        <w:t>(一)逾期一周未办理微专业缴费和注册的；</w:t>
      </w:r>
    </w:p>
    <w:p w14:paraId="6684B70A">
      <w:pPr>
        <w:pStyle w:val="3"/>
        <w:spacing w:before="165" w:line="222" w:lineRule="auto"/>
        <w:ind w:left="904"/>
      </w:pPr>
      <w:r>
        <w:rPr>
          <w:spacing w:val="1"/>
        </w:rPr>
        <w:t>(二)已办理退学的；</w:t>
      </w:r>
    </w:p>
    <w:p w14:paraId="0D380A6D">
      <w:pPr>
        <w:pStyle w:val="3"/>
        <w:spacing w:before="191" w:line="221" w:lineRule="auto"/>
        <w:ind w:left="904"/>
      </w:pPr>
      <w:r>
        <w:rPr>
          <w:spacing w:val="2"/>
        </w:rPr>
        <w:t>(三)被开除学籍的。</w:t>
      </w:r>
    </w:p>
    <w:p w14:paraId="20F28272">
      <w:pPr>
        <w:pStyle w:val="3"/>
        <w:spacing w:before="167" w:line="313" w:lineRule="auto"/>
        <w:ind w:left="134" w:right="100" w:firstLine="630"/>
        <w:jc w:val="both"/>
      </w:pPr>
      <w:r>
        <w:rPr>
          <w:rFonts w:ascii="黑体" w:hAnsi="黑体" w:eastAsia="黑体" w:cs="黑体"/>
          <w:spacing w:val="-14"/>
        </w:rPr>
        <w:t>第十</w:t>
      </w:r>
      <w:r>
        <w:rPr>
          <w:rFonts w:hint="eastAsia" w:ascii="黑体" w:hAnsi="黑体" w:eastAsia="黑体" w:cs="黑体"/>
          <w:spacing w:val="-14"/>
          <w:lang w:val="en-US" w:eastAsia="zh-CN"/>
        </w:rPr>
        <w:t>六</w:t>
      </w:r>
      <w:r>
        <w:rPr>
          <w:rFonts w:ascii="黑体" w:hAnsi="黑体" w:eastAsia="黑体" w:cs="黑体"/>
          <w:spacing w:val="-14"/>
        </w:rPr>
        <w:t xml:space="preserve">条 </w:t>
      </w:r>
      <w:r>
        <w:rPr>
          <w:spacing w:val="-14"/>
        </w:rPr>
        <w:t>因休学、参加学校组织的交流项目等原因申请</w:t>
      </w:r>
      <w:r>
        <w:rPr>
          <w:spacing w:val="10"/>
        </w:rPr>
        <w:t xml:space="preserve"> </w:t>
      </w:r>
      <w:r>
        <w:rPr>
          <w:spacing w:val="-7"/>
        </w:rPr>
        <w:t>暂停微专业修读的学生，由开设学院在学生学习年限内保留</w:t>
      </w:r>
      <w:r>
        <w:rPr>
          <w:spacing w:val="10"/>
        </w:rPr>
        <w:t xml:space="preserve"> </w:t>
      </w:r>
      <w:r>
        <w:rPr>
          <w:spacing w:val="-16"/>
        </w:rPr>
        <w:t>其微专业学籍。</w:t>
      </w:r>
    </w:p>
    <w:p w14:paraId="2115F724">
      <w:pPr>
        <w:pStyle w:val="3"/>
        <w:spacing w:before="41" w:line="312" w:lineRule="auto"/>
        <w:ind w:left="134" w:right="88" w:firstLine="630"/>
        <w:jc w:val="both"/>
      </w:pPr>
      <w:r>
        <w:rPr>
          <w:rFonts w:ascii="黑体" w:hAnsi="黑体" w:eastAsia="黑体" w:cs="黑体"/>
          <w:spacing w:val="-10"/>
        </w:rPr>
        <w:t>第十</w:t>
      </w:r>
      <w:r>
        <w:rPr>
          <w:rFonts w:hint="eastAsia" w:ascii="黑体" w:hAnsi="黑体" w:eastAsia="黑体" w:cs="黑体"/>
          <w:spacing w:val="-10"/>
          <w:lang w:val="en-US" w:eastAsia="zh-CN"/>
        </w:rPr>
        <w:t>七</w:t>
      </w:r>
      <w:r>
        <w:rPr>
          <w:rFonts w:ascii="黑体" w:hAnsi="黑体" w:eastAsia="黑体" w:cs="黑体"/>
          <w:spacing w:val="-10"/>
        </w:rPr>
        <w:t>条</w:t>
      </w:r>
      <w:r>
        <w:rPr>
          <w:rFonts w:ascii="黑体" w:hAnsi="黑体" w:eastAsia="黑体" w:cs="黑体"/>
          <w:spacing w:val="-68"/>
        </w:rPr>
        <w:t xml:space="preserve"> </w:t>
      </w:r>
      <w:r>
        <w:rPr>
          <w:spacing w:val="-10"/>
        </w:rPr>
        <w:t>微专业课程成绩由开设学院负责管理。成</w:t>
      </w:r>
      <w:r>
        <w:rPr>
          <w:spacing w:val="-11"/>
        </w:rPr>
        <w:t>绩单</w:t>
      </w:r>
      <w:r>
        <w:t xml:space="preserve"> </w:t>
      </w:r>
      <w:r>
        <w:rPr>
          <w:spacing w:val="-7"/>
        </w:rPr>
        <w:t>由任课教师填写一式三份，一份由学院留存</w:t>
      </w:r>
      <w:r>
        <w:rPr>
          <w:spacing w:val="-8"/>
        </w:rPr>
        <w:t>，一份交教务处</w:t>
      </w:r>
      <w:r>
        <w:t xml:space="preserve"> </w:t>
      </w:r>
      <w:r>
        <w:rPr>
          <w:spacing w:val="-14"/>
        </w:rPr>
        <w:t>备案，一份教师自存。</w:t>
      </w:r>
    </w:p>
    <w:p w14:paraId="32CBA9C1">
      <w:pPr>
        <w:spacing w:line="242" w:lineRule="auto"/>
        <w:rPr>
          <w:rFonts w:ascii="Arial"/>
          <w:sz w:val="32"/>
          <w:szCs w:val="32"/>
        </w:rPr>
      </w:pPr>
    </w:p>
    <w:p w14:paraId="62D30B82">
      <w:pPr>
        <w:spacing w:before="105" w:line="222" w:lineRule="auto"/>
        <w:ind w:left="2899"/>
        <w:outlineLvl w:val="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4"/>
          <w:sz w:val="32"/>
          <w:szCs w:val="32"/>
        </w:rPr>
        <w:t>第四章</w:t>
      </w:r>
      <w:r>
        <w:rPr>
          <w:rFonts w:hint="eastAsia" w:ascii="黑体" w:hAnsi="黑体" w:eastAsia="黑体" w:cs="黑体"/>
          <w:b/>
          <w:bCs/>
          <w:spacing w:val="4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4"/>
          <w:sz w:val="32"/>
          <w:szCs w:val="32"/>
        </w:rPr>
        <w:t>修读申请及招生</w:t>
      </w:r>
    </w:p>
    <w:p w14:paraId="7D672370">
      <w:pPr>
        <w:spacing w:line="349" w:lineRule="auto"/>
        <w:rPr>
          <w:rFonts w:ascii="Arial"/>
          <w:sz w:val="32"/>
          <w:szCs w:val="32"/>
        </w:rPr>
      </w:pPr>
    </w:p>
    <w:p w14:paraId="46870AD2">
      <w:pPr>
        <w:pStyle w:val="3"/>
        <w:spacing w:before="104" w:line="220" w:lineRule="auto"/>
        <w:ind w:left="769"/>
      </w:pPr>
      <w:r>
        <w:rPr>
          <w:rFonts w:ascii="黑体" w:hAnsi="黑体" w:eastAsia="黑体" w:cs="黑体"/>
          <w:b/>
          <w:bCs/>
          <w:spacing w:val="-8"/>
        </w:rPr>
        <w:t>第十</w:t>
      </w:r>
      <w:r>
        <w:rPr>
          <w:rFonts w:hint="eastAsia" w:ascii="黑体" w:hAnsi="黑体" w:eastAsia="黑体" w:cs="黑体"/>
          <w:b/>
          <w:bCs/>
          <w:spacing w:val="-8"/>
          <w:lang w:val="en-US" w:eastAsia="zh-CN"/>
        </w:rPr>
        <w:t>八</w:t>
      </w:r>
      <w:r>
        <w:rPr>
          <w:rFonts w:ascii="黑体" w:hAnsi="黑体" w:eastAsia="黑体" w:cs="黑体"/>
          <w:b/>
          <w:bCs/>
          <w:spacing w:val="-8"/>
        </w:rPr>
        <w:t>条</w:t>
      </w:r>
      <w:r>
        <w:rPr>
          <w:rFonts w:ascii="黑体" w:hAnsi="黑体" w:eastAsia="黑体" w:cs="黑体"/>
          <w:spacing w:val="-56"/>
        </w:rPr>
        <w:t xml:space="preserve"> </w:t>
      </w:r>
      <w:r>
        <w:rPr>
          <w:spacing w:val="-8"/>
        </w:rPr>
        <w:t>符合以下条件的学生可申请修读微专业：</w:t>
      </w:r>
    </w:p>
    <w:p w14:paraId="0C6E5883">
      <w:pPr>
        <w:pStyle w:val="3"/>
        <w:spacing w:before="178" w:line="219" w:lineRule="auto"/>
        <w:ind w:left="904"/>
      </w:pPr>
      <w:r>
        <w:rPr>
          <w:spacing w:val="-1"/>
        </w:rPr>
        <w:t>(一)具有学籍且学有余力的全日制在校生；</w:t>
      </w:r>
    </w:p>
    <w:p w14:paraId="40AB3EDF">
      <w:pPr>
        <w:pStyle w:val="3"/>
        <w:spacing w:before="185" w:line="222" w:lineRule="auto"/>
        <w:ind w:left="904"/>
      </w:pPr>
      <w:r>
        <w:rPr>
          <w:spacing w:val="8"/>
        </w:rPr>
        <w:t>(二)主修专业平均学分绩点2.0及以上。</w:t>
      </w:r>
    </w:p>
    <w:p w14:paraId="49C93346">
      <w:pPr>
        <w:pStyle w:val="3"/>
        <w:spacing w:before="167" w:line="307" w:lineRule="auto"/>
        <w:ind w:left="134" w:right="118" w:firstLine="630"/>
        <w:jc w:val="both"/>
      </w:pPr>
      <w:r>
        <w:rPr>
          <w:rFonts w:ascii="黑体" w:hAnsi="黑体" w:eastAsia="黑体" w:cs="黑体"/>
          <w:spacing w:val="1"/>
        </w:rPr>
        <w:t>第十</w:t>
      </w:r>
      <w:r>
        <w:rPr>
          <w:rFonts w:hint="eastAsia" w:ascii="黑体" w:hAnsi="黑体" w:eastAsia="黑体" w:cs="黑体"/>
          <w:spacing w:val="1"/>
          <w:lang w:val="en-US" w:eastAsia="zh-CN"/>
        </w:rPr>
        <w:t>九</w:t>
      </w:r>
      <w:r>
        <w:rPr>
          <w:rFonts w:ascii="黑体" w:hAnsi="黑体" w:eastAsia="黑体" w:cs="黑体"/>
          <w:spacing w:val="1"/>
        </w:rPr>
        <w:t>条</w:t>
      </w:r>
      <w:r>
        <w:rPr>
          <w:rFonts w:ascii="黑体" w:hAnsi="黑体" w:eastAsia="黑体" w:cs="黑体"/>
          <w:spacing w:val="-43"/>
        </w:rPr>
        <w:t xml:space="preserve"> </w:t>
      </w:r>
      <w:r>
        <w:rPr>
          <w:spacing w:val="1"/>
        </w:rPr>
        <w:t>允许学生在学有余力的情况下修读两个以上</w:t>
      </w:r>
      <w:r>
        <w:t xml:space="preserve"> </w:t>
      </w:r>
      <w:r>
        <w:rPr>
          <w:spacing w:val="-8"/>
        </w:rPr>
        <w:t>的微专业，前一个微专业修读完成后方能申请修读下一个微</w:t>
      </w:r>
      <w:r>
        <w:rPr>
          <w:spacing w:val="11"/>
        </w:rPr>
        <w:t xml:space="preserve"> </w:t>
      </w:r>
      <w:r>
        <w:rPr>
          <w:spacing w:val="-9"/>
        </w:rPr>
        <w:t>专业，所有微专业课程修读须在主修专业学习年限内完成。</w:t>
      </w:r>
    </w:p>
    <w:p w14:paraId="0DF0D961">
      <w:pPr>
        <w:pStyle w:val="3"/>
        <w:spacing w:before="82" w:line="317" w:lineRule="auto"/>
        <w:ind w:left="0" w:firstLine="616" w:firstLineChars="200"/>
        <w:jc w:val="both"/>
        <w:rPr>
          <w:spacing w:val="-2"/>
        </w:rPr>
      </w:pPr>
      <w:r>
        <w:rPr>
          <w:rFonts w:ascii="黑体" w:hAnsi="黑体" w:eastAsia="黑体" w:cs="黑体"/>
          <w:spacing w:val="-6"/>
        </w:rPr>
        <w:t>第</w:t>
      </w:r>
      <w:r>
        <w:rPr>
          <w:rFonts w:hint="eastAsia" w:ascii="黑体" w:hAnsi="黑体" w:eastAsia="黑体" w:cs="黑体"/>
          <w:spacing w:val="-6"/>
          <w:lang w:val="en-US" w:eastAsia="zh-CN"/>
        </w:rPr>
        <w:t>二十</w:t>
      </w:r>
      <w:r>
        <w:rPr>
          <w:rFonts w:ascii="黑体" w:hAnsi="黑体" w:eastAsia="黑体" w:cs="黑体"/>
          <w:spacing w:val="-6"/>
        </w:rPr>
        <w:t>条</w:t>
      </w:r>
      <w:r>
        <w:rPr>
          <w:rFonts w:ascii="黑体" w:hAnsi="黑体" w:eastAsia="黑体" w:cs="黑体"/>
          <w:spacing w:val="-77"/>
        </w:rPr>
        <w:t xml:space="preserve"> </w:t>
      </w:r>
      <w:r>
        <w:rPr>
          <w:spacing w:val="-6"/>
        </w:rPr>
        <w:t>各微专业自主确定招收对象、学生遴选办法，</w:t>
      </w:r>
      <w:r>
        <w:t xml:space="preserve"> </w:t>
      </w:r>
      <w:r>
        <w:rPr>
          <w:spacing w:val="-7"/>
        </w:rPr>
        <w:t>报教务处审定后向学生公布。学生可在第</w:t>
      </w:r>
      <w:r>
        <w:rPr>
          <w:rFonts w:hint="eastAsia"/>
          <w:spacing w:val="-7"/>
          <w:lang w:val="en-US" w:eastAsia="zh-CN"/>
        </w:rPr>
        <w:t>一</w:t>
      </w:r>
      <w:r>
        <w:rPr>
          <w:spacing w:val="-7"/>
        </w:rPr>
        <w:t>至第五</w:t>
      </w:r>
      <w:r>
        <w:rPr>
          <w:spacing w:val="-8"/>
        </w:rPr>
        <w:t>学期提出</w:t>
      </w:r>
      <w:r>
        <w:t xml:space="preserve"> </w:t>
      </w:r>
      <w:r>
        <w:rPr>
          <w:spacing w:val="-2"/>
        </w:rPr>
        <w:t>修读申请，原则上2-4</w:t>
      </w:r>
      <w:r>
        <w:rPr>
          <w:rFonts w:hint="eastAsia"/>
          <w:spacing w:val="-2"/>
          <w:lang w:val="en-US" w:eastAsia="zh-CN"/>
        </w:rPr>
        <w:t>个</w:t>
      </w:r>
      <w:r>
        <w:rPr>
          <w:spacing w:val="-2"/>
        </w:rPr>
        <w:t>学期完成所有课程的修读。</w:t>
      </w:r>
    </w:p>
    <w:p w14:paraId="0BF6216B">
      <w:pPr>
        <w:pStyle w:val="3"/>
        <w:spacing w:before="108" w:line="222" w:lineRule="auto"/>
        <w:ind w:left="0" w:firstLine="627" w:firstLineChars="200"/>
      </w:pPr>
      <w:r>
        <w:rPr>
          <w:rFonts w:ascii="黑体" w:hAnsi="黑体" w:eastAsia="黑体" w:cs="黑体"/>
          <w:b/>
          <w:bCs/>
          <w:spacing w:val="-4"/>
        </w:rPr>
        <w:t>第二十</w:t>
      </w:r>
      <w:r>
        <w:rPr>
          <w:rFonts w:hint="eastAsia" w:ascii="黑体" w:hAnsi="黑体" w:eastAsia="黑体" w:cs="黑体"/>
          <w:b/>
          <w:bCs/>
          <w:spacing w:val="-4"/>
          <w:lang w:val="en-US" w:eastAsia="zh-CN"/>
        </w:rPr>
        <w:t>一</w:t>
      </w:r>
      <w:r>
        <w:rPr>
          <w:rFonts w:ascii="黑体" w:hAnsi="黑体" w:eastAsia="黑体" w:cs="黑体"/>
          <w:b/>
          <w:bCs/>
          <w:spacing w:val="-4"/>
        </w:rPr>
        <w:t>条</w:t>
      </w:r>
      <w:r>
        <w:rPr>
          <w:rFonts w:ascii="黑体" w:hAnsi="黑体" w:eastAsia="黑体" w:cs="黑体"/>
          <w:spacing w:val="-63"/>
        </w:rPr>
        <w:t xml:space="preserve"> </w:t>
      </w:r>
      <w:r>
        <w:rPr>
          <w:spacing w:val="-4"/>
        </w:rPr>
        <w:t>微专业招生程序</w:t>
      </w:r>
    </w:p>
    <w:p w14:paraId="183482E0">
      <w:pPr>
        <w:pStyle w:val="3"/>
        <w:spacing w:before="146" w:line="273" w:lineRule="auto"/>
        <w:ind w:left="4" w:right="378" w:firstLine="679"/>
      </w:pPr>
      <w:r>
        <w:rPr>
          <w:spacing w:val="1"/>
        </w:rPr>
        <w:t>(一)开办学院拟定招生方案，经学院讨论通</w:t>
      </w:r>
      <w:r>
        <w:t xml:space="preserve">过后报教 </w:t>
      </w:r>
      <w:r>
        <w:rPr>
          <w:spacing w:val="-17"/>
        </w:rPr>
        <w:t>务处备案；</w:t>
      </w:r>
    </w:p>
    <w:p w14:paraId="36902ED0">
      <w:pPr>
        <w:pStyle w:val="3"/>
        <w:spacing w:before="119" w:line="275" w:lineRule="auto"/>
        <w:ind w:left="4" w:right="380" w:firstLine="679"/>
      </w:pPr>
      <w:r>
        <w:t>(二)符合条件的学生根据微专业报名通知，在规定时</w:t>
      </w:r>
      <w:r>
        <w:rPr>
          <w:spacing w:val="18"/>
        </w:rPr>
        <w:t xml:space="preserve"> </w:t>
      </w:r>
      <w:r>
        <w:rPr>
          <w:spacing w:val="-17"/>
        </w:rPr>
        <w:t>间内按要求申请；</w:t>
      </w:r>
    </w:p>
    <w:p w14:paraId="3BDB3697">
      <w:pPr>
        <w:pStyle w:val="3"/>
        <w:spacing w:before="136" w:line="282" w:lineRule="auto"/>
        <w:ind w:left="0" w:right="213" w:firstLine="616" w:firstLineChars="200"/>
      </w:pPr>
      <w:r>
        <w:rPr>
          <w:spacing w:val="-6"/>
        </w:rPr>
        <w:t>(三)开办学院根据工作方案和学生报名情况进行审核，</w:t>
      </w:r>
      <w:r>
        <w:rPr>
          <w:spacing w:val="15"/>
        </w:rPr>
        <w:t xml:space="preserve"> </w:t>
      </w:r>
      <w:r>
        <w:rPr>
          <w:spacing w:val="-1"/>
        </w:rPr>
        <w:t>将审核结果和录取名单公示3个工作日，公示无异议后，录</w:t>
      </w:r>
      <w:r>
        <w:rPr>
          <w:spacing w:val="2"/>
        </w:rPr>
        <w:t xml:space="preserve"> </w:t>
      </w:r>
      <w:r>
        <w:rPr>
          <w:spacing w:val="-11"/>
        </w:rPr>
        <w:t>取名单报教务处备案。</w:t>
      </w:r>
    </w:p>
    <w:p w14:paraId="05284C02">
      <w:pPr>
        <w:spacing w:line="329" w:lineRule="auto"/>
        <w:rPr>
          <w:rFonts w:ascii="Arial"/>
          <w:sz w:val="32"/>
          <w:szCs w:val="32"/>
        </w:rPr>
      </w:pPr>
    </w:p>
    <w:p w14:paraId="51C98267">
      <w:pPr>
        <w:spacing w:before="104" w:line="222" w:lineRule="auto"/>
        <w:ind w:left="3239"/>
        <w:outlineLvl w:val="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8"/>
          <w:sz w:val="32"/>
          <w:szCs w:val="32"/>
        </w:rPr>
        <w:t>第五章</w:t>
      </w:r>
      <w:r>
        <w:rPr>
          <w:rFonts w:hint="eastAsia" w:ascii="黑体" w:hAnsi="黑体" w:eastAsia="黑体" w:cs="黑体"/>
          <w:b/>
          <w:bCs/>
          <w:spacing w:val="8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8"/>
          <w:sz w:val="32"/>
          <w:szCs w:val="32"/>
        </w:rPr>
        <w:t>收费管理</w:t>
      </w:r>
    </w:p>
    <w:p w14:paraId="69E550C4">
      <w:pPr>
        <w:spacing w:line="349" w:lineRule="auto"/>
        <w:rPr>
          <w:rFonts w:ascii="Arial"/>
          <w:sz w:val="32"/>
          <w:szCs w:val="32"/>
        </w:rPr>
      </w:pPr>
    </w:p>
    <w:p w14:paraId="4AF83D3B">
      <w:pPr>
        <w:pStyle w:val="3"/>
        <w:spacing w:before="104" w:line="221" w:lineRule="auto"/>
        <w:ind w:left="659"/>
      </w:pPr>
      <w:r>
        <w:rPr>
          <w:rFonts w:ascii="黑体" w:hAnsi="黑体" w:eastAsia="黑体" w:cs="黑体"/>
          <w:b/>
          <w:bCs/>
          <w:spacing w:val="-5"/>
        </w:rPr>
        <w:t>第二十</w:t>
      </w:r>
      <w:r>
        <w:rPr>
          <w:rFonts w:hint="eastAsia" w:ascii="黑体" w:hAnsi="黑体" w:eastAsia="黑体" w:cs="黑体"/>
          <w:b/>
          <w:bCs/>
          <w:spacing w:val="-5"/>
          <w:lang w:val="en-US" w:eastAsia="zh-CN"/>
        </w:rPr>
        <w:t>二</w:t>
      </w:r>
      <w:r>
        <w:rPr>
          <w:rFonts w:ascii="黑体" w:hAnsi="黑体" w:eastAsia="黑体" w:cs="黑体"/>
          <w:b/>
          <w:bCs/>
          <w:spacing w:val="-5"/>
        </w:rPr>
        <w:t>条</w:t>
      </w:r>
      <w:r>
        <w:rPr>
          <w:rFonts w:ascii="黑体" w:hAnsi="黑体" w:eastAsia="黑体" w:cs="黑体"/>
          <w:spacing w:val="-43"/>
        </w:rPr>
        <w:t xml:space="preserve"> </w:t>
      </w:r>
      <w:r>
        <w:rPr>
          <w:spacing w:val="-5"/>
        </w:rPr>
        <w:t>微专业实行学分制收费</w:t>
      </w:r>
    </w:p>
    <w:p w14:paraId="64B8699C">
      <w:pPr>
        <w:pStyle w:val="3"/>
        <w:spacing w:before="151" w:line="286" w:lineRule="auto"/>
        <w:ind w:left="4" w:right="300" w:firstLine="679"/>
      </w:pPr>
      <w:r>
        <w:rPr>
          <w:spacing w:val="-3"/>
        </w:rPr>
        <w:t>(一)修读学校现有本科专业以内的微专业，学费标准=</w:t>
      </w:r>
      <w:r>
        <w:rPr>
          <w:spacing w:val="-1"/>
        </w:rPr>
        <w:t>微专业总学分×该专业学年学费标准×4年÷该专业毕业应</w:t>
      </w:r>
      <w:r>
        <w:rPr>
          <w:spacing w:val="4"/>
        </w:rPr>
        <w:t xml:space="preserve"> </w:t>
      </w:r>
      <w:r>
        <w:rPr>
          <w:spacing w:val="-17"/>
        </w:rPr>
        <w:t>完成的学分总数。</w:t>
      </w:r>
    </w:p>
    <w:p w14:paraId="3105BE3A">
      <w:pPr>
        <w:pStyle w:val="3"/>
        <w:spacing w:before="110" w:line="289" w:lineRule="auto"/>
        <w:ind w:left="4" w:right="300" w:firstLine="679"/>
      </w:pPr>
      <w:r>
        <w:rPr>
          <w:spacing w:val="-3"/>
        </w:rPr>
        <w:t>(二)修读学校现有本科专业以外的微专业，学费标准=</w:t>
      </w:r>
      <w:r>
        <w:rPr>
          <w:spacing w:val="-1"/>
        </w:rPr>
        <w:t>微专业总学分×学校各专业学年学费的平均值×4年÷学校</w:t>
      </w:r>
      <w:r>
        <w:rPr>
          <w:spacing w:val="4"/>
        </w:rPr>
        <w:t xml:space="preserve"> </w:t>
      </w:r>
      <w:r>
        <w:rPr>
          <w:spacing w:val="-12"/>
        </w:rPr>
        <w:t>各专业毕业应完成的学分平均值。</w:t>
      </w:r>
    </w:p>
    <w:p w14:paraId="12D5D90D">
      <w:pPr>
        <w:pStyle w:val="3"/>
        <w:spacing w:before="146" w:line="220" w:lineRule="auto"/>
        <w:jc w:val="right"/>
      </w:pPr>
      <w:r>
        <w:rPr>
          <w:spacing w:val="-10"/>
        </w:rPr>
        <w:t>开设学院可向学校申请免除学生修读微专业的部分学费。</w:t>
      </w:r>
    </w:p>
    <w:p w14:paraId="11F241B2">
      <w:pPr>
        <w:pStyle w:val="3"/>
        <w:spacing w:before="118" w:line="283" w:lineRule="auto"/>
        <w:ind w:left="0" w:right="210" w:firstLine="635" w:firstLineChars="200"/>
      </w:pPr>
      <w:r>
        <w:rPr>
          <w:rFonts w:ascii="黑体" w:hAnsi="黑体" w:eastAsia="黑体" w:cs="黑体"/>
          <w:b/>
          <w:bCs/>
          <w:spacing w:val="-2"/>
        </w:rPr>
        <w:t>第二十</w:t>
      </w:r>
      <w:r>
        <w:rPr>
          <w:rFonts w:hint="eastAsia" w:ascii="黑体" w:hAnsi="黑体" w:eastAsia="黑体" w:cs="黑体"/>
          <w:b/>
          <w:bCs/>
          <w:spacing w:val="-2"/>
          <w:lang w:val="en-US" w:eastAsia="zh-CN"/>
        </w:rPr>
        <w:t>三</w:t>
      </w:r>
      <w:r>
        <w:rPr>
          <w:rFonts w:ascii="黑体" w:hAnsi="黑体" w:eastAsia="黑体" w:cs="黑体"/>
          <w:b/>
          <w:bCs/>
          <w:spacing w:val="-2"/>
        </w:rPr>
        <w:t>条</w:t>
      </w:r>
      <w:r>
        <w:rPr>
          <w:rFonts w:ascii="黑体" w:hAnsi="黑体" w:eastAsia="黑体" w:cs="黑体"/>
          <w:spacing w:val="-2"/>
        </w:rPr>
        <w:t xml:space="preserve"> </w:t>
      </w:r>
      <w:r>
        <w:rPr>
          <w:spacing w:val="-2"/>
        </w:rPr>
        <w:t>学校对获得微专业证书且主修专业平均学</w:t>
      </w:r>
      <w:r>
        <w:rPr>
          <w:spacing w:val="4"/>
        </w:rPr>
        <w:t xml:space="preserve"> </w:t>
      </w:r>
      <w:r>
        <w:rPr>
          <w:spacing w:val="-9"/>
        </w:rPr>
        <w:t>分绩点在3.2及以上的学生予以奖励，奖励金额和范围如下</w:t>
      </w:r>
      <w:r>
        <w:rPr>
          <w:rFonts w:hint="eastAsia"/>
          <w:spacing w:val="-9"/>
          <w:lang w:eastAsia="zh-CN"/>
        </w:rPr>
        <w:t>：</w:t>
      </w:r>
    </w:p>
    <w:p w14:paraId="7769515D">
      <w:pPr>
        <w:pStyle w:val="3"/>
        <w:spacing w:before="42" w:line="282" w:lineRule="auto"/>
        <w:ind w:left="4" w:right="238" w:firstLine="820"/>
      </w:pPr>
      <w:r>
        <w:rPr>
          <w:spacing w:val="7"/>
        </w:rPr>
        <w:t>(一)一等奖，奖金2500元/人，奖励范围为微</w:t>
      </w:r>
      <w:r>
        <w:rPr>
          <w:spacing w:val="6"/>
        </w:rPr>
        <w:t>专业平</w:t>
      </w:r>
      <w:r>
        <w:t xml:space="preserve"> </w:t>
      </w:r>
      <w:r>
        <w:rPr>
          <w:spacing w:val="3"/>
        </w:rPr>
        <w:t>均学分绩点在同批次同一微专业总人数中排名前5%(含5%)</w:t>
      </w:r>
      <w:r>
        <w:rPr>
          <w:spacing w:val="6"/>
        </w:rPr>
        <w:t xml:space="preserve"> </w:t>
      </w:r>
      <w:r>
        <w:rPr>
          <w:spacing w:val="-31"/>
        </w:rPr>
        <w:t>的学生；</w:t>
      </w:r>
    </w:p>
    <w:p w14:paraId="70464A2E">
      <w:pPr>
        <w:pStyle w:val="3"/>
        <w:tabs>
          <w:tab w:val="left" w:pos="324"/>
        </w:tabs>
        <w:spacing w:before="131" w:line="308" w:lineRule="auto"/>
        <w:ind w:left="0" w:right="69" w:firstLine="668" w:firstLineChars="200"/>
        <w:rPr>
          <w:spacing w:val="12"/>
        </w:rPr>
      </w:pPr>
      <w:r>
        <w:rPr>
          <w:spacing w:val="7"/>
        </w:rPr>
        <w:t>(二)二等奖，奖金1500元/人，奖励范围为微</w:t>
      </w:r>
      <w:r>
        <w:rPr>
          <w:spacing w:val="6"/>
        </w:rPr>
        <w:t>专业平</w:t>
      </w:r>
      <w:r>
        <w:t xml:space="preserve"> 均学分绩点在同批次同一微专业总人数中排名前6%-15%(含</w:t>
      </w:r>
      <w:r>
        <w:rPr>
          <w:spacing w:val="8"/>
        </w:rPr>
        <w:t xml:space="preserve"> </w:t>
      </w:r>
      <w:r>
        <w:rPr>
          <w:spacing w:val="12"/>
        </w:rPr>
        <w:t>15%)的学生；</w:t>
      </w:r>
    </w:p>
    <w:p w14:paraId="638460C4">
      <w:pPr>
        <w:pStyle w:val="3"/>
        <w:tabs>
          <w:tab w:val="left" w:pos="324"/>
        </w:tabs>
        <w:spacing w:before="131" w:line="308" w:lineRule="auto"/>
        <w:ind w:left="0" w:right="69" w:firstLine="668" w:firstLineChars="200"/>
      </w:pPr>
      <w:r>
        <w:rPr>
          <w:spacing w:val="7"/>
        </w:rPr>
        <w:t>(三)三等奖，奖金1000元/人，奖励范围为微</w:t>
      </w:r>
      <w:r>
        <w:rPr>
          <w:spacing w:val="6"/>
        </w:rPr>
        <w:t>专业平</w:t>
      </w:r>
      <w:r>
        <w:t xml:space="preserve"> </w:t>
      </w:r>
      <w:r>
        <w:rPr>
          <w:spacing w:val="12"/>
        </w:rPr>
        <w:t>均学分绩点在同批次同一微专业总人数中排</w:t>
      </w:r>
      <w:r>
        <w:rPr>
          <w:spacing w:val="11"/>
        </w:rPr>
        <w:t>名前16%-30%</w:t>
      </w:r>
      <w:r>
        <w:t xml:space="preserve"> </w:t>
      </w:r>
      <w:r>
        <w:tab/>
      </w:r>
      <w:r>
        <w:rPr>
          <w:spacing w:val="12"/>
        </w:rPr>
        <w:t>(含30%)的学生。</w:t>
      </w:r>
    </w:p>
    <w:p w14:paraId="348CAB94">
      <w:pPr>
        <w:pStyle w:val="3"/>
        <w:spacing w:before="65" w:line="313" w:lineRule="auto"/>
        <w:ind w:left="155" w:right="92" w:firstLine="619"/>
        <w:jc w:val="both"/>
      </w:pPr>
      <w:r>
        <w:rPr>
          <w:rFonts w:ascii="黑体" w:hAnsi="黑体" w:eastAsia="黑体" w:cs="黑体"/>
          <w:spacing w:val="-11"/>
        </w:rPr>
        <w:t>第二十</w:t>
      </w:r>
      <w:r>
        <w:rPr>
          <w:rFonts w:hint="eastAsia" w:ascii="黑体" w:hAnsi="黑体" w:eastAsia="黑体" w:cs="黑体"/>
          <w:spacing w:val="-11"/>
          <w:lang w:val="en-US" w:eastAsia="zh-CN"/>
        </w:rPr>
        <w:t>四</w:t>
      </w:r>
      <w:r>
        <w:rPr>
          <w:rFonts w:ascii="黑体" w:hAnsi="黑体" w:eastAsia="黑体" w:cs="黑体"/>
          <w:spacing w:val="-11"/>
        </w:rPr>
        <w:t>条</w:t>
      </w:r>
      <w:r>
        <w:rPr>
          <w:rFonts w:ascii="黑体" w:hAnsi="黑体" w:eastAsia="黑体" w:cs="黑体"/>
          <w:spacing w:val="-40"/>
        </w:rPr>
        <w:t xml:space="preserve"> </w:t>
      </w:r>
      <w:r>
        <w:rPr>
          <w:spacing w:val="-11"/>
        </w:rPr>
        <w:t>修读微专业的学生，原则上不得中途退出学</w:t>
      </w:r>
      <w:r>
        <w:t xml:space="preserve"> </w:t>
      </w:r>
      <w:r>
        <w:rPr>
          <w:spacing w:val="-8"/>
        </w:rPr>
        <w:t>习。因特殊原因退出学习的，经学校审批同意后按照未修读</w:t>
      </w:r>
      <w:r>
        <w:rPr>
          <w:spacing w:val="5"/>
        </w:rPr>
        <w:t xml:space="preserve"> </w:t>
      </w:r>
      <w:r>
        <w:rPr>
          <w:spacing w:val="-13"/>
        </w:rPr>
        <w:t>课程学时同比例退费。</w:t>
      </w:r>
    </w:p>
    <w:p w14:paraId="24521D96">
      <w:pPr>
        <w:pStyle w:val="3"/>
        <w:spacing w:before="50" w:line="314" w:lineRule="auto"/>
        <w:ind w:left="155" w:right="112" w:firstLine="619"/>
        <w:jc w:val="both"/>
      </w:pPr>
      <w:r>
        <w:rPr>
          <w:rFonts w:ascii="黑体" w:hAnsi="黑体" w:eastAsia="黑体" w:cs="黑体"/>
          <w:spacing w:val="7"/>
        </w:rPr>
        <w:t>第二十</w:t>
      </w:r>
      <w:r>
        <w:rPr>
          <w:rFonts w:hint="eastAsia" w:ascii="黑体" w:hAnsi="黑体" w:eastAsia="黑体" w:cs="黑体"/>
          <w:spacing w:val="7"/>
          <w:lang w:val="en-US" w:eastAsia="zh-CN"/>
        </w:rPr>
        <w:t>五</w:t>
      </w:r>
      <w:r>
        <w:rPr>
          <w:rFonts w:ascii="黑体" w:hAnsi="黑体" w:eastAsia="黑体" w:cs="黑体"/>
          <w:spacing w:val="7"/>
        </w:rPr>
        <w:t>条</w:t>
      </w:r>
      <w:r>
        <w:rPr>
          <w:rFonts w:ascii="黑体" w:hAnsi="黑体" w:eastAsia="黑体" w:cs="黑体"/>
          <w:spacing w:val="-33"/>
        </w:rPr>
        <w:t xml:space="preserve"> </w:t>
      </w:r>
      <w:r>
        <w:rPr>
          <w:spacing w:val="7"/>
        </w:rPr>
        <w:t>微专业学费的75%由学校统筹管理，用于</w:t>
      </w:r>
      <w:r>
        <w:t xml:space="preserve"> </w:t>
      </w:r>
      <w:r>
        <w:rPr>
          <w:spacing w:val="-1"/>
        </w:rPr>
        <w:t>课时酬金、实践性环节、相关管理等方面的支出，20%由微</w:t>
      </w:r>
      <w:r>
        <w:rPr>
          <w:spacing w:val="3"/>
        </w:rPr>
        <w:t xml:space="preserve"> </w:t>
      </w:r>
      <w:r>
        <w:rPr>
          <w:spacing w:val="-11"/>
        </w:rPr>
        <w:t>专业开设学院支配，5%划拨教务处。</w:t>
      </w:r>
    </w:p>
    <w:p w14:paraId="2C40B80A">
      <w:pPr>
        <w:spacing w:before="336" w:line="221" w:lineRule="auto"/>
        <w:ind w:left="3409"/>
        <w:outlineLvl w:val="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8"/>
          <w:sz w:val="32"/>
          <w:szCs w:val="32"/>
        </w:rPr>
        <w:t>第六章</w:t>
      </w:r>
      <w:r>
        <w:rPr>
          <w:rFonts w:hint="eastAsia" w:ascii="黑体" w:hAnsi="黑体" w:eastAsia="黑体" w:cs="黑体"/>
          <w:b/>
          <w:bCs/>
          <w:spacing w:val="8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8"/>
          <w:sz w:val="32"/>
          <w:szCs w:val="32"/>
        </w:rPr>
        <w:t>证书颁发</w:t>
      </w:r>
    </w:p>
    <w:p w14:paraId="0833A378">
      <w:pPr>
        <w:spacing w:line="350" w:lineRule="auto"/>
        <w:rPr>
          <w:rFonts w:ascii="Arial"/>
          <w:sz w:val="32"/>
          <w:szCs w:val="32"/>
        </w:rPr>
      </w:pPr>
    </w:p>
    <w:p w14:paraId="69417F64">
      <w:pPr>
        <w:pStyle w:val="3"/>
        <w:spacing w:before="104" w:line="313" w:lineRule="auto"/>
        <w:ind w:left="155" w:firstLine="619"/>
        <w:jc w:val="both"/>
      </w:pPr>
      <w:r>
        <w:rPr>
          <w:rFonts w:ascii="黑体" w:hAnsi="黑体" w:eastAsia="黑体" w:cs="黑体"/>
        </w:rPr>
        <w:t>第二十</w:t>
      </w:r>
      <w:r>
        <w:rPr>
          <w:rFonts w:hint="eastAsia" w:ascii="黑体" w:hAnsi="黑体" w:eastAsia="黑体" w:cs="黑体"/>
          <w:lang w:val="en-US" w:eastAsia="zh-CN"/>
        </w:rPr>
        <w:t>六</w:t>
      </w:r>
      <w:r>
        <w:rPr>
          <w:rFonts w:ascii="黑体" w:hAnsi="黑体" w:eastAsia="黑体" w:cs="黑体"/>
        </w:rPr>
        <w:t>条</w:t>
      </w:r>
      <w:r>
        <w:rPr>
          <w:rFonts w:ascii="黑体" w:hAnsi="黑体" w:eastAsia="黑体" w:cs="黑体"/>
          <w:spacing w:val="-37"/>
        </w:rPr>
        <w:t xml:space="preserve"> </w:t>
      </w:r>
      <w:r>
        <w:t xml:space="preserve">在主修专业学习年限内学生按要求完成微  </w:t>
      </w:r>
      <w:r>
        <w:rPr>
          <w:spacing w:val="-15"/>
        </w:rPr>
        <w:t>专业培养方案指定课程，获得规定学分，经开设学院审核后，</w:t>
      </w:r>
      <w:r>
        <w:rPr>
          <w:spacing w:val="13"/>
        </w:rPr>
        <w:t xml:space="preserve"> </w:t>
      </w:r>
      <w:r>
        <w:rPr>
          <w:spacing w:val="-10"/>
        </w:rPr>
        <w:t>报教务处审定，发放学校统一制作的微专业证书。</w:t>
      </w:r>
    </w:p>
    <w:p w14:paraId="05724670">
      <w:pPr>
        <w:pStyle w:val="3"/>
        <w:spacing w:before="65" w:line="304" w:lineRule="auto"/>
        <w:ind w:left="155" w:right="119" w:firstLine="619"/>
      </w:pPr>
      <w:r>
        <w:rPr>
          <w:rFonts w:ascii="黑体" w:hAnsi="黑体" w:eastAsia="黑体" w:cs="黑体"/>
          <w:spacing w:val="-11"/>
        </w:rPr>
        <w:t>第二十</w:t>
      </w:r>
      <w:r>
        <w:rPr>
          <w:rFonts w:hint="eastAsia" w:ascii="黑体" w:hAnsi="黑体" w:eastAsia="黑体" w:cs="黑体"/>
          <w:spacing w:val="-11"/>
          <w:lang w:val="en-US" w:eastAsia="zh-CN"/>
        </w:rPr>
        <w:t>七</w:t>
      </w:r>
      <w:r>
        <w:rPr>
          <w:rFonts w:ascii="黑体" w:hAnsi="黑体" w:eastAsia="黑体" w:cs="黑体"/>
          <w:spacing w:val="-11"/>
        </w:rPr>
        <w:t>条</w:t>
      </w:r>
      <w:r>
        <w:rPr>
          <w:rFonts w:ascii="黑体" w:hAnsi="黑体" w:eastAsia="黑体" w:cs="黑体"/>
          <w:spacing w:val="-67"/>
        </w:rPr>
        <w:t xml:space="preserve"> </w:t>
      </w:r>
      <w:r>
        <w:rPr>
          <w:spacing w:val="-11"/>
        </w:rPr>
        <w:t>微专业课程成绩单列成绩单，计入学生学业</w:t>
      </w:r>
      <w:r>
        <w:t xml:space="preserve"> </w:t>
      </w:r>
      <w:r>
        <w:rPr>
          <w:spacing w:val="-14"/>
        </w:rPr>
        <w:t>档案。</w:t>
      </w:r>
    </w:p>
    <w:p w14:paraId="056C7B7E">
      <w:pPr>
        <w:pStyle w:val="3"/>
        <w:spacing w:before="57" w:line="307" w:lineRule="auto"/>
        <w:ind w:left="155" w:right="112" w:firstLine="619"/>
      </w:pPr>
      <w:r>
        <w:rPr>
          <w:rFonts w:ascii="黑体" w:hAnsi="黑体" w:eastAsia="黑体" w:cs="黑体"/>
          <w:spacing w:val="-12"/>
        </w:rPr>
        <w:t>第二十</w:t>
      </w:r>
      <w:r>
        <w:rPr>
          <w:rFonts w:hint="eastAsia" w:ascii="黑体" w:hAnsi="黑体" w:eastAsia="黑体" w:cs="黑体"/>
          <w:spacing w:val="-12"/>
          <w:lang w:val="en-US" w:eastAsia="zh-CN"/>
        </w:rPr>
        <w:t>八</w:t>
      </w:r>
      <w:r>
        <w:rPr>
          <w:rFonts w:ascii="黑体" w:hAnsi="黑体" w:eastAsia="黑体" w:cs="黑体"/>
          <w:spacing w:val="-12"/>
        </w:rPr>
        <w:t>条</w:t>
      </w:r>
      <w:r>
        <w:rPr>
          <w:rFonts w:ascii="黑体" w:hAnsi="黑体" w:eastAsia="黑体" w:cs="黑体"/>
          <w:spacing w:val="-36"/>
        </w:rPr>
        <w:t xml:space="preserve"> </w:t>
      </w:r>
      <w:r>
        <w:rPr>
          <w:spacing w:val="-12"/>
        </w:rPr>
        <w:t>微专业课程考核不合格的，不影响评奖评优</w:t>
      </w:r>
      <w:r>
        <w:t xml:space="preserve"> </w:t>
      </w:r>
      <w:r>
        <w:rPr>
          <w:spacing w:val="-15"/>
        </w:rPr>
        <w:t>和主修专业毕业资格。</w:t>
      </w:r>
    </w:p>
    <w:p w14:paraId="3DD255F9">
      <w:pPr>
        <w:pStyle w:val="3"/>
        <w:spacing w:before="42" w:line="316" w:lineRule="auto"/>
        <w:ind w:left="155" w:right="132" w:firstLine="619"/>
      </w:pPr>
      <w:r>
        <w:rPr>
          <w:rFonts w:ascii="黑体" w:hAnsi="黑体" w:eastAsia="黑体" w:cs="黑体"/>
          <w:spacing w:val="1"/>
        </w:rPr>
        <w:t>第二十</w:t>
      </w:r>
      <w:r>
        <w:rPr>
          <w:rFonts w:hint="eastAsia" w:ascii="黑体" w:hAnsi="黑体" w:eastAsia="黑体" w:cs="黑体"/>
          <w:spacing w:val="1"/>
          <w:lang w:val="en-US" w:eastAsia="zh-CN"/>
        </w:rPr>
        <w:t>九</w:t>
      </w:r>
      <w:r>
        <w:rPr>
          <w:rFonts w:ascii="黑体" w:hAnsi="黑体" w:eastAsia="黑体" w:cs="黑体"/>
          <w:spacing w:val="1"/>
        </w:rPr>
        <w:t>条</w:t>
      </w:r>
      <w:r>
        <w:rPr>
          <w:rFonts w:ascii="黑体" w:hAnsi="黑体" w:eastAsia="黑体" w:cs="黑体"/>
          <w:spacing w:val="-47"/>
        </w:rPr>
        <w:t xml:space="preserve"> </w:t>
      </w:r>
      <w:r>
        <w:rPr>
          <w:spacing w:val="1"/>
        </w:rPr>
        <w:t>微专业是非学历教育，不在中国高等教育</w:t>
      </w:r>
      <w:r>
        <w:t xml:space="preserve"> </w:t>
      </w:r>
      <w:r>
        <w:rPr>
          <w:spacing w:val="4"/>
        </w:rPr>
        <w:t>学生信息网(学信网)备注信息，不授予学士学位。</w:t>
      </w:r>
    </w:p>
    <w:p w14:paraId="4E8991A2">
      <w:pPr>
        <w:spacing w:before="316" w:line="222" w:lineRule="auto"/>
        <w:ind w:left="3549"/>
        <w:outlineLvl w:val="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7"/>
          <w:sz w:val="32"/>
          <w:szCs w:val="32"/>
        </w:rPr>
        <w:t>第七章</w:t>
      </w:r>
      <w:r>
        <w:rPr>
          <w:rFonts w:ascii="黑体" w:hAnsi="黑体" w:eastAsia="黑体" w:cs="黑体"/>
          <w:spacing w:val="-24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24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32"/>
          <w:szCs w:val="32"/>
        </w:rPr>
        <w:t>附</w:t>
      </w:r>
      <w:r>
        <w:rPr>
          <w:rFonts w:ascii="黑体" w:hAnsi="黑体" w:eastAsia="黑体" w:cs="黑体"/>
          <w:spacing w:val="-43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32"/>
          <w:szCs w:val="32"/>
        </w:rPr>
        <w:t>则</w:t>
      </w:r>
    </w:p>
    <w:p w14:paraId="53A32ACB">
      <w:pPr>
        <w:spacing w:line="360" w:lineRule="auto"/>
        <w:rPr>
          <w:rFonts w:ascii="Arial"/>
          <w:sz w:val="32"/>
          <w:szCs w:val="32"/>
        </w:rPr>
      </w:pPr>
    </w:p>
    <w:p w14:paraId="4FD21B08">
      <w:pPr>
        <w:pStyle w:val="3"/>
        <w:spacing w:before="105" w:line="317" w:lineRule="auto"/>
        <w:ind w:left="777" w:right="2228"/>
      </w:pPr>
      <w:r>
        <w:rPr>
          <w:rFonts w:ascii="黑体" w:hAnsi="黑体" w:eastAsia="黑体" w:cs="黑体"/>
          <w:b/>
          <w:bCs/>
          <w:spacing w:val="-10"/>
        </w:rPr>
        <w:t>第</w:t>
      </w:r>
      <w:r>
        <w:rPr>
          <w:rFonts w:hint="eastAsia" w:ascii="黑体" w:hAnsi="黑体" w:eastAsia="黑体" w:cs="黑体"/>
          <w:b/>
          <w:bCs/>
          <w:spacing w:val="-10"/>
          <w:lang w:val="en-US" w:eastAsia="zh-CN"/>
        </w:rPr>
        <w:t>三十</w:t>
      </w:r>
      <w:r>
        <w:rPr>
          <w:rFonts w:ascii="黑体" w:hAnsi="黑体" w:eastAsia="黑体" w:cs="黑体"/>
          <w:b/>
          <w:bCs/>
          <w:spacing w:val="-10"/>
        </w:rPr>
        <w:t>条</w:t>
      </w:r>
      <w:r>
        <w:rPr>
          <w:rFonts w:ascii="黑体" w:hAnsi="黑体" w:eastAsia="黑体" w:cs="黑体"/>
          <w:spacing w:val="-53"/>
        </w:rPr>
        <w:t xml:space="preserve"> </w:t>
      </w:r>
      <w:r>
        <w:rPr>
          <w:spacing w:val="-10"/>
        </w:rPr>
        <w:t>本办法自发文之日起施行。</w:t>
      </w:r>
      <w:r>
        <w:t xml:space="preserve"> </w:t>
      </w:r>
      <w:r>
        <w:rPr>
          <w:rFonts w:ascii="黑体" w:hAnsi="黑体" w:eastAsia="黑体" w:cs="黑体"/>
          <w:b/>
          <w:bCs/>
          <w:spacing w:val="-9"/>
        </w:rPr>
        <w:t>第三十</w:t>
      </w:r>
      <w:r>
        <w:rPr>
          <w:rFonts w:hint="eastAsia" w:ascii="黑体" w:hAnsi="黑体" w:eastAsia="黑体" w:cs="黑体"/>
          <w:b/>
          <w:bCs/>
          <w:spacing w:val="-9"/>
          <w:lang w:val="en-US" w:eastAsia="zh-CN"/>
        </w:rPr>
        <w:t>一</w:t>
      </w:r>
      <w:r>
        <w:rPr>
          <w:rFonts w:ascii="黑体" w:hAnsi="黑体" w:eastAsia="黑体" w:cs="黑体"/>
          <w:b/>
          <w:bCs/>
          <w:spacing w:val="-9"/>
        </w:rPr>
        <w:t>条</w:t>
      </w:r>
      <w:r>
        <w:rPr>
          <w:rFonts w:ascii="黑体" w:hAnsi="黑体" w:eastAsia="黑体" w:cs="黑体"/>
          <w:spacing w:val="-28"/>
        </w:rPr>
        <w:t xml:space="preserve"> </w:t>
      </w:r>
      <w:r>
        <w:rPr>
          <w:spacing w:val="-9"/>
        </w:rPr>
        <w:t>本办法由教务处负责解释</w:t>
      </w:r>
      <w:r>
        <w:rPr>
          <w:rFonts w:hint="eastAsia"/>
          <w:lang w:eastAsia="zh-CN"/>
        </w:rPr>
        <w:t>。</w:t>
      </w:r>
    </w:p>
    <w:p w14:paraId="50732A20">
      <w:pPr>
        <w:spacing w:before="2"/>
        <w:rPr>
          <w:sz w:val="32"/>
          <w:szCs w:val="32"/>
        </w:rPr>
      </w:pPr>
    </w:p>
    <w:p w14:paraId="4AC439FF">
      <w:pPr>
        <w:spacing w:before="2"/>
        <w:rPr>
          <w:sz w:val="32"/>
          <w:szCs w:val="32"/>
        </w:rPr>
      </w:pPr>
    </w:p>
    <w:p w14:paraId="24353899">
      <w:pPr>
        <w:spacing w:before="2"/>
        <w:rPr>
          <w:sz w:val="32"/>
          <w:szCs w:val="32"/>
        </w:rPr>
      </w:pPr>
    </w:p>
    <w:p w14:paraId="19381212">
      <w:pPr>
        <w:rPr>
          <w:rFonts w:ascii="Arial"/>
          <w:sz w:val="32"/>
          <w:szCs w:val="32"/>
        </w:rPr>
      </w:pPr>
    </w:p>
    <w:sectPr>
      <w:footerReference r:id="rId5" w:type="default"/>
      <w:pgSz w:w="11900" w:h="16820"/>
      <w:pgMar w:top="1429" w:right="1720" w:bottom="1234" w:left="1770" w:header="0" w:footer="91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B7FEB1">
    <w:pPr>
      <w:spacing w:line="177" w:lineRule="auto"/>
      <w:ind w:left="389"/>
      <w:rPr>
        <w:rFonts w:ascii="宋体" w:hAnsi="宋体" w:eastAsia="宋体" w:cs="宋体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6E4E2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6E4E2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trackRevisions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1700D09"/>
    <w:rsid w:val="19BA7673"/>
    <w:rsid w:val="33F27883"/>
    <w:rsid w:val="383C7BE2"/>
    <w:rsid w:val="4CB22BBE"/>
    <w:rsid w:val="4E0123CB"/>
    <w:rsid w:val="57367A5F"/>
    <w:rsid w:val="574302E2"/>
    <w:rsid w:val="5B017AA6"/>
    <w:rsid w:val="62DC3320"/>
    <w:rsid w:val="63587885"/>
    <w:rsid w:val="63896292"/>
    <w:rsid w:val="68A57043"/>
    <w:rsid w:val="711E6CC2"/>
    <w:rsid w:val="76891684"/>
    <w:rsid w:val="7D7702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2792</Words>
  <Characters>2849</Characters>
  <TotalTime>14</TotalTime>
  <ScaleCrop>false</ScaleCrop>
  <LinksUpToDate>false</LinksUpToDate>
  <CharactersWithSpaces>2950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2024-10-29T15:45:00Z</dcterms:created>
  <dc:creator>Kingsoft-PDF</dc:creator>
  <cp:lastModifiedBy>@</cp:lastModifiedBy>
  <dcterms:modified xsi:type="dcterms:W3CDTF">2025-04-28T07:22:29Z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2024-10-29T15:45:19Z</vt:filetime>
  </property>
  <property fmtid="{D5CDD505-2E9C-101B-9397-08002B2CF9AE}" pid="4" name="UsrData">
    <vt:lpwstr>6720928b564c68001f34ecbfwl</vt:lpwstr>
  </property>
  <property fmtid="{D5CDD505-2E9C-101B-9397-08002B2CF9AE}" pid="5" name="KSOTemplateDocerSaveRecord">
    <vt:lpwstr>eyJoZGlkIjoiMjRiOTZjYmRkOTJlOThiOTk5NGEwN2E2Zjg3MGU4YzEiLCJ1c2VySWQiOiI1NjI3MTY2NjEifQ==</vt:lpwstr>
  </property>
  <property fmtid="{D5CDD505-2E9C-101B-9397-08002B2CF9AE}" pid="6" name="KSOProductBuildVer">
    <vt:lpwstr>2052-12.1.0.20784</vt:lpwstr>
  </property>
  <property fmtid="{D5CDD505-2E9C-101B-9397-08002B2CF9AE}" pid="7" name="ICV">
    <vt:lpwstr>101762874195461BBC006FB76F4C1C23_12</vt:lpwstr>
  </property>
</Properties>
</file>