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F6751">
      <w:pPr>
        <w:spacing w:line="324" w:lineRule="auto"/>
        <w:rPr>
          <w:rFonts w:hint="default" w:ascii="Arial" w:eastAsia="宋体"/>
          <w:b/>
          <w:bCs/>
          <w:sz w:val="32"/>
          <w:szCs w:val="32"/>
          <w:lang w:val="en-US" w:eastAsia="zh-CN"/>
        </w:rPr>
      </w:pPr>
      <w:r>
        <w:rPr>
          <w:rFonts w:hint="eastAsia" w:eastAsia="宋体"/>
          <w:b/>
          <w:bCs/>
          <w:sz w:val="32"/>
          <w:szCs w:val="32"/>
          <w:lang w:val="en-US" w:eastAsia="zh-CN"/>
        </w:rPr>
        <w:t>附件1</w:t>
      </w:r>
    </w:p>
    <w:p w14:paraId="30BE1AA1">
      <w:pPr>
        <w:spacing w:line="324" w:lineRule="auto"/>
        <w:rPr>
          <w:rFonts w:ascii="Arial"/>
          <w:sz w:val="21"/>
        </w:rPr>
      </w:pPr>
      <w:bookmarkStart w:id="0" w:name="_GoBack"/>
      <w:bookmarkEnd w:id="0"/>
    </w:p>
    <w:p w14:paraId="62326D9C"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广东外语外贸大学南国商学院</w:t>
      </w:r>
    </w:p>
    <w:p w14:paraId="27F18A26">
      <w:pPr>
        <w:spacing w:before="140" w:line="219" w:lineRule="auto"/>
        <w:jc w:val="center"/>
        <w:rPr>
          <w:rFonts w:hint="eastAsia" w:ascii="宋体" w:hAnsi="宋体" w:eastAsia="宋体" w:cs="宋体"/>
          <w:b/>
          <w:bCs/>
          <w:spacing w:val="-3"/>
          <w:sz w:val="43"/>
          <w:szCs w:val="43"/>
          <w:lang w:eastAsia="zh-CN"/>
        </w:rPr>
      </w:pPr>
      <w:r>
        <w:rPr>
          <w:rFonts w:ascii="宋体" w:hAnsi="宋体" w:eastAsia="宋体" w:cs="宋体"/>
          <w:b/>
          <w:bCs/>
          <w:spacing w:val="-5"/>
          <w:sz w:val="43"/>
          <w:szCs w:val="43"/>
        </w:rPr>
        <w:t>本科学生辅修专业及辅修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学士学位管理办法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val="en-US" w:eastAsia="zh-CN"/>
        </w:rPr>
        <w:t>征求意见稿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eastAsia="zh-CN"/>
        </w:rPr>
        <w:t>）</w:t>
      </w:r>
    </w:p>
    <w:p w14:paraId="5032E0A3">
      <w:pPr>
        <w:spacing w:line="309" w:lineRule="auto"/>
        <w:rPr>
          <w:rFonts w:ascii="Arial"/>
          <w:sz w:val="21"/>
        </w:rPr>
      </w:pPr>
    </w:p>
    <w:p w14:paraId="2A2E66A0">
      <w:pPr>
        <w:spacing w:line="310" w:lineRule="auto"/>
        <w:rPr>
          <w:rFonts w:ascii="Arial"/>
          <w:sz w:val="21"/>
        </w:rPr>
      </w:pPr>
    </w:p>
    <w:p w14:paraId="3E170081">
      <w:pPr>
        <w:spacing w:before="101" w:line="222" w:lineRule="auto"/>
        <w:ind w:left="309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7"/>
          <w:sz w:val="31"/>
          <w:szCs w:val="31"/>
        </w:rPr>
        <w:t>第一章</w:t>
      </w:r>
      <w:r>
        <w:rPr>
          <w:rFonts w:ascii="黑体" w:hAnsi="黑体" w:eastAsia="黑体" w:cs="黑体"/>
          <w:spacing w:val="-7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-7"/>
          <w:sz w:val="31"/>
          <w:szCs w:val="31"/>
        </w:rPr>
        <w:t>总</w:t>
      </w:r>
      <w:r>
        <w:rPr>
          <w:rFonts w:ascii="黑体" w:hAnsi="黑体" w:eastAsia="黑体" w:cs="黑体"/>
          <w:spacing w:val="25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-7"/>
          <w:sz w:val="31"/>
          <w:szCs w:val="31"/>
        </w:rPr>
        <w:t>则</w:t>
      </w:r>
    </w:p>
    <w:p w14:paraId="77AD8497">
      <w:pPr>
        <w:spacing w:line="385" w:lineRule="auto"/>
        <w:rPr>
          <w:rFonts w:ascii="Arial"/>
          <w:sz w:val="21"/>
        </w:rPr>
      </w:pPr>
    </w:p>
    <w:p w14:paraId="59321DA5">
      <w:pPr>
        <w:pStyle w:val="3"/>
        <w:spacing w:before="101" w:line="315" w:lineRule="auto"/>
        <w:ind w:left="94" w:firstLine="660"/>
      </w:pPr>
      <w:r>
        <w:rPr>
          <w:rFonts w:ascii="黑体" w:hAnsi="黑体" w:eastAsia="黑体" w:cs="黑体"/>
          <w:spacing w:val="10"/>
        </w:rPr>
        <w:t xml:space="preserve">第一条 </w:t>
      </w:r>
      <w:r>
        <w:rPr>
          <w:spacing w:val="10"/>
        </w:rPr>
        <w:t>为适应国家经济建设和社会发展对跨学科专业</w:t>
      </w:r>
      <w:r>
        <w:rPr>
          <w:spacing w:val="14"/>
        </w:rPr>
        <w:t xml:space="preserve"> </w:t>
      </w:r>
      <w:r>
        <w:rPr>
          <w:spacing w:val="2"/>
        </w:rPr>
        <w:t>人才的需求，培养具有创新精神和实践能力的复合型人才，</w:t>
      </w:r>
      <w:r>
        <w:rPr>
          <w:spacing w:val="5"/>
        </w:rPr>
        <w:t xml:space="preserve">  </w:t>
      </w:r>
      <w:r>
        <w:rPr>
          <w:spacing w:val="4"/>
        </w:rPr>
        <w:t>鼓励学有余力的学生在学好主修专业的基础上辅修其</w:t>
      </w:r>
      <w:r>
        <w:rPr>
          <w:spacing w:val="3"/>
        </w:rPr>
        <w:t>他本科</w:t>
      </w:r>
      <w:r>
        <w:t xml:space="preserve">  </w:t>
      </w:r>
      <w:r>
        <w:rPr>
          <w:spacing w:val="4"/>
        </w:rPr>
        <w:t>专业，根据《学士学位授权与授予管理办法》(学位〔2021〕</w:t>
      </w:r>
      <w:r>
        <w:rPr>
          <w:spacing w:val="2"/>
        </w:rPr>
        <w:t xml:space="preserve"> </w:t>
      </w:r>
      <w:r>
        <w:rPr>
          <w:spacing w:val="4"/>
        </w:rPr>
        <w:t>20号)、《广东省学士学位授权与授予管理实施细</w:t>
      </w:r>
      <w:r>
        <w:rPr>
          <w:spacing w:val="3"/>
        </w:rPr>
        <w:t>则》(粤学</w:t>
      </w:r>
      <w:r>
        <w:t xml:space="preserve">  </w:t>
      </w:r>
      <w:r>
        <w:rPr>
          <w:spacing w:val="-2"/>
        </w:rPr>
        <w:t>位〔2021〕5号)等文件精神，结合学校实际，特制订本办</w:t>
      </w:r>
      <w:r>
        <w:rPr>
          <w:spacing w:val="-3"/>
        </w:rPr>
        <w:t>法。</w:t>
      </w:r>
    </w:p>
    <w:p w14:paraId="67179602">
      <w:pPr>
        <w:pStyle w:val="3"/>
        <w:spacing w:before="161" w:line="312" w:lineRule="auto"/>
        <w:ind w:left="94" w:right="123" w:firstLine="660"/>
      </w:pPr>
      <w:r>
        <w:rPr>
          <w:rFonts w:ascii="黑体" w:hAnsi="黑体" w:eastAsia="黑体" w:cs="黑体"/>
          <w:spacing w:val="-2"/>
        </w:rPr>
        <w:t xml:space="preserve">第二条 </w:t>
      </w:r>
      <w:r>
        <w:rPr>
          <w:spacing w:val="-2"/>
        </w:rPr>
        <w:t>辅修须在学生的本科学习阶段完成，分为辅修专</w:t>
      </w:r>
      <w:r>
        <w:rPr>
          <w:spacing w:val="5"/>
        </w:rPr>
        <w:t xml:space="preserve"> </w:t>
      </w:r>
      <w:r>
        <w:rPr>
          <w:spacing w:val="4"/>
        </w:rPr>
        <w:t>业和辅修学士学位两个层次。辅修专业是指学生修读主修专</w:t>
      </w:r>
      <w:r>
        <w:t xml:space="preserve"> </w:t>
      </w:r>
      <w:r>
        <w:rPr>
          <w:spacing w:val="4"/>
        </w:rPr>
        <w:t>业所属本科专业目录专业类以外的其他专业的课程；辅修学</w:t>
      </w:r>
      <w:r>
        <w:rPr>
          <w:spacing w:val="3"/>
        </w:rPr>
        <w:t xml:space="preserve"> </w:t>
      </w:r>
      <w:r>
        <w:rPr>
          <w:spacing w:val="4"/>
        </w:rPr>
        <w:t>士学位是指学生修读主修专业所属本科专业目录学科门类以</w:t>
      </w:r>
      <w:r>
        <w:rPr>
          <w:spacing w:val="11"/>
        </w:rPr>
        <w:t xml:space="preserve"> </w:t>
      </w:r>
      <w:r>
        <w:rPr>
          <w:spacing w:val="-5"/>
        </w:rPr>
        <w:t>外的其他专业的课程。</w:t>
      </w:r>
    </w:p>
    <w:p w14:paraId="16D5391C">
      <w:pPr>
        <w:spacing w:line="342" w:lineRule="auto"/>
        <w:rPr>
          <w:rFonts w:ascii="Arial"/>
          <w:sz w:val="21"/>
        </w:rPr>
      </w:pPr>
    </w:p>
    <w:p w14:paraId="1A1D8D60">
      <w:pPr>
        <w:spacing w:before="101" w:line="222" w:lineRule="auto"/>
        <w:ind w:left="327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第二章</w:t>
      </w:r>
      <w:r>
        <w:rPr>
          <w:rFonts w:ascii="黑体" w:hAnsi="黑体" w:eastAsia="黑体" w:cs="黑体"/>
          <w:spacing w:val="1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专业设置</w:t>
      </w:r>
    </w:p>
    <w:p w14:paraId="6A950E47">
      <w:pPr>
        <w:spacing w:line="397" w:lineRule="auto"/>
        <w:rPr>
          <w:rFonts w:ascii="Arial"/>
          <w:sz w:val="21"/>
        </w:rPr>
      </w:pPr>
    </w:p>
    <w:p w14:paraId="47E1F60C">
      <w:pPr>
        <w:pStyle w:val="3"/>
        <w:spacing w:before="101" w:line="297" w:lineRule="auto"/>
        <w:ind w:left="94" w:right="130" w:firstLine="660"/>
      </w:pPr>
      <w:r>
        <w:rPr>
          <w:rFonts w:ascii="黑体" w:hAnsi="黑体" w:eastAsia="黑体" w:cs="黑体"/>
          <w:spacing w:val="6"/>
        </w:rPr>
        <w:t>第三条</w:t>
      </w:r>
      <w:r>
        <w:rPr>
          <w:rFonts w:ascii="黑体" w:hAnsi="黑体" w:eastAsia="黑体" w:cs="黑体"/>
          <w:spacing w:val="120"/>
        </w:rPr>
        <w:t xml:space="preserve"> </w:t>
      </w:r>
      <w:r>
        <w:rPr>
          <w:spacing w:val="6"/>
        </w:rPr>
        <w:t>学院可根据办学条件及学生需求，依托现有专</w:t>
      </w:r>
      <w:r>
        <w:t xml:space="preserve"> </w:t>
      </w:r>
      <w:r>
        <w:rPr>
          <w:spacing w:val="4"/>
        </w:rPr>
        <w:t>业开设辅修。开设辅修所依托的专业原则上至少</w:t>
      </w:r>
      <w:r>
        <w:rPr>
          <w:spacing w:val="3"/>
        </w:rPr>
        <w:t>有一届毕业</w:t>
      </w:r>
      <w:r>
        <w:t xml:space="preserve"> </w:t>
      </w:r>
      <w:r>
        <w:rPr>
          <w:spacing w:val="-10"/>
        </w:rPr>
        <w:t>生且连续招生。</w:t>
      </w:r>
    </w:p>
    <w:p w14:paraId="05D444BE">
      <w:pPr>
        <w:pStyle w:val="3"/>
        <w:spacing w:before="181" w:line="220" w:lineRule="auto"/>
        <w:ind w:left="759"/>
      </w:pPr>
      <w:r>
        <w:rPr>
          <w:rFonts w:ascii="黑体" w:hAnsi="黑体" w:eastAsia="黑体" w:cs="黑体"/>
          <w:b/>
          <w:bCs/>
          <w:spacing w:val="-3"/>
        </w:rPr>
        <w:t>第四条</w:t>
      </w:r>
      <w:r>
        <w:rPr>
          <w:rFonts w:ascii="黑体" w:hAnsi="黑体" w:eastAsia="黑体" w:cs="黑体"/>
          <w:spacing w:val="-3"/>
        </w:rPr>
        <w:t xml:space="preserve"> </w:t>
      </w:r>
      <w:r>
        <w:rPr>
          <w:spacing w:val="-3"/>
        </w:rPr>
        <w:t>开设辅修采用申请制，由开设学院填写申请书并</w:t>
      </w:r>
    </w:p>
    <w:p w14:paraId="2C955684">
      <w:pPr>
        <w:spacing w:line="220" w:lineRule="auto"/>
        <w:sectPr>
          <w:footerReference r:id="rId5" w:type="default"/>
          <w:pgSz w:w="11900" w:h="16820"/>
          <w:pgMar w:top="1429" w:right="1685" w:bottom="1776" w:left="1785" w:header="0" w:footer="1371" w:gutter="0"/>
          <w:pgNumType w:fmt="decimal"/>
          <w:cols w:space="720" w:num="1"/>
        </w:sectPr>
      </w:pPr>
    </w:p>
    <w:p w14:paraId="6446C0B6">
      <w:pPr>
        <w:pStyle w:val="3"/>
        <w:spacing w:before="97" w:line="345" w:lineRule="auto"/>
        <w:ind w:right="236"/>
        <w:rPr>
          <w:sz w:val="30"/>
          <w:szCs w:val="30"/>
        </w:rPr>
      </w:pPr>
      <w:r>
        <w:rPr>
          <w:spacing w:val="14"/>
          <w:sz w:val="30"/>
          <w:szCs w:val="30"/>
        </w:rPr>
        <w:t>附辅修人才培养方案，经教务处审核和学校教学指导委员会</w:t>
      </w:r>
      <w:r>
        <w:rPr>
          <w:spacing w:val="13"/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审议通过后开设。</w:t>
      </w:r>
    </w:p>
    <w:p w14:paraId="3E0967DC">
      <w:pPr>
        <w:pStyle w:val="3"/>
        <w:spacing w:before="4" w:line="313" w:lineRule="auto"/>
        <w:ind w:right="227" w:firstLine="639"/>
        <w:rPr>
          <w:sz w:val="30"/>
          <w:szCs w:val="30"/>
        </w:rPr>
      </w:pPr>
      <w:r>
        <w:rPr>
          <w:rFonts w:ascii="黑体" w:hAnsi="黑体" w:eastAsia="黑体" w:cs="黑体"/>
          <w:spacing w:val="20"/>
          <w:sz w:val="30"/>
          <w:szCs w:val="30"/>
        </w:rPr>
        <w:t xml:space="preserve">第五条 </w:t>
      </w:r>
      <w:r>
        <w:rPr>
          <w:spacing w:val="20"/>
          <w:sz w:val="30"/>
          <w:szCs w:val="30"/>
        </w:rPr>
        <w:t>辅修所设课程应包括其所依托专业的专业核心</w:t>
      </w:r>
      <w:r>
        <w:rPr>
          <w:spacing w:val="16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课程，辅修专业总学分不低于30学分，辅修学士学位总学分</w:t>
      </w:r>
      <w:r>
        <w:rPr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不低于</w:t>
      </w:r>
      <w:r>
        <w:rPr>
          <w:rFonts w:hint="eastAsia"/>
          <w:spacing w:val="14"/>
          <w:sz w:val="30"/>
          <w:szCs w:val="30"/>
          <w:lang w:val="en-US" w:eastAsia="zh-CN"/>
        </w:rPr>
        <w:t>40</w:t>
      </w:r>
      <w:r>
        <w:rPr>
          <w:spacing w:val="14"/>
          <w:sz w:val="30"/>
          <w:szCs w:val="30"/>
        </w:rPr>
        <w:t>学分。辅修学士学位必须包括实践教学、毕业论文</w:t>
      </w:r>
      <w:r>
        <w:rPr>
          <w:spacing w:val="4"/>
          <w:sz w:val="30"/>
          <w:szCs w:val="30"/>
        </w:rPr>
        <w:t xml:space="preserve"> 或毕业设计等环节。</w:t>
      </w:r>
    </w:p>
    <w:p w14:paraId="79704A41">
      <w:pPr>
        <w:pStyle w:val="3"/>
        <w:spacing w:before="200" w:line="305" w:lineRule="auto"/>
        <w:ind w:right="227" w:firstLine="639"/>
        <w:rPr>
          <w:sz w:val="30"/>
          <w:szCs w:val="30"/>
        </w:rPr>
      </w:pPr>
      <w:r>
        <w:rPr>
          <w:rFonts w:ascii="黑体" w:hAnsi="黑体" w:eastAsia="黑体" w:cs="黑体"/>
          <w:spacing w:val="8"/>
          <w:sz w:val="30"/>
          <w:szCs w:val="30"/>
        </w:rPr>
        <w:t xml:space="preserve">第六条 </w:t>
      </w:r>
      <w:r>
        <w:rPr>
          <w:spacing w:val="8"/>
          <w:sz w:val="30"/>
          <w:szCs w:val="30"/>
        </w:rPr>
        <w:t>辅修人才培养方案中的课程均为必修课</w:t>
      </w:r>
      <w:r>
        <w:rPr>
          <w:spacing w:val="7"/>
          <w:sz w:val="30"/>
          <w:szCs w:val="30"/>
        </w:rPr>
        <w:t>程。各学</w:t>
      </w:r>
      <w:r>
        <w:rPr>
          <w:sz w:val="30"/>
          <w:szCs w:val="30"/>
        </w:rPr>
        <w:t xml:space="preserve"> </w:t>
      </w:r>
      <w:r>
        <w:rPr>
          <w:spacing w:val="25"/>
          <w:sz w:val="30"/>
          <w:szCs w:val="30"/>
        </w:rPr>
        <w:t>院</w:t>
      </w:r>
      <w:r>
        <w:rPr>
          <w:rFonts w:hint="eastAsia"/>
          <w:spacing w:val="25"/>
          <w:sz w:val="30"/>
          <w:szCs w:val="30"/>
          <w:lang w:val="en-US" w:eastAsia="zh-CN"/>
        </w:rPr>
        <w:t>可</w:t>
      </w:r>
      <w:r>
        <w:rPr>
          <w:spacing w:val="25"/>
          <w:sz w:val="30"/>
          <w:szCs w:val="30"/>
        </w:rPr>
        <w:t>将辅修课程及毕业论文(设计)有序地安排在第三至第</w:t>
      </w:r>
      <w:r>
        <w:rPr>
          <w:spacing w:val="10"/>
          <w:sz w:val="30"/>
          <w:szCs w:val="30"/>
        </w:rPr>
        <w:t xml:space="preserve"> </w:t>
      </w:r>
      <w:r>
        <w:rPr>
          <w:rFonts w:hint="eastAsia"/>
          <w:spacing w:val="10"/>
          <w:sz w:val="30"/>
          <w:szCs w:val="30"/>
          <w:lang w:val="en-US" w:eastAsia="zh-CN"/>
        </w:rPr>
        <w:t>八</w:t>
      </w:r>
      <w:r>
        <w:rPr>
          <w:spacing w:val="-4"/>
          <w:sz w:val="30"/>
          <w:szCs w:val="30"/>
        </w:rPr>
        <w:t>学期。</w:t>
      </w:r>
    </w:p>
    <w:p w14:paraId="3D7D0034">
      <w:pPr>
        <w:spacing w:line="336" w:lineRule="auto"/>
        <w:rPr>
          <w:rFonts w:ascii="Arial"/>
          <w:sz w:val="21"/>
        </w:rPr>
      </w:pPr>
    </w:p>
    <w:p w14:paraId="0212DEF9">
      <w:pPr>
        <w:spacing w:before="104" w:line="221" w:lineRule="auto"/>
        <w:ind w:left="2704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第三章</w:t>
      </w:r>
      <w:r>
        <w:rPr>
          <w:rFonts w:ascii="黑体" w:hAnsi="黑体" w:eastAsia="黑体" w:cs="黑体"/>
          <w:spacing w:val="-10"/>
          <w:sz w:val="32"/>
          <w:szCs w:val="32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2"/>
          <w:szCs w:val="32"/>
        </w:rPr>
        <w:t>教学组织与管理</w:t>
      </w:r>
    </w:p>
    <w:p w14:paraId="7BCC28A2">
      <w:pPr>
        <w:spacing w:line="387" w:lineRule="auto"/>
        <w:rPr>
          <w:rFonts w:ascii="Arial"/>
          <w:sz w:val="21"/>
        </w:rPr>
      </w:pPr>
    </w:p>
    <w:p w14:paraId="2C60C6DE">
      <w:pPr>
        <w:pStyle w:val="3"/>
        <w:spacing w:before="97" w:line="287" w:lineRule="auto"/>
        <w:ind w:right="227" w:firstLine="64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第七条</w:t>
      </w:r>
      <w:r>
        <w:rPr>
          <w:rFonts w:ascii="黑体" w:hAnsi="黑体" w:eastAsia="黑体" w:cs="黑体"/>
          <w:spacing w:val="7"/>
          <w:sz w:val="30"/>
          <w:szCs w:val="30"/>
        </w:rPr>
        <w:t xml:space="preserve"> </w:t>
      </w:r>
      <w:r>
        <w:rPr>
          <w:spacing w:val="7"/>
          <w:sz w:val="30"/>
          <w:szCs w:val="30"/>
        </w:rPr>
        <w:t xml:space="preserve">辅修教学管理纳入学校本科教学管理体系，教学 </w:t>
      </w:r>
      <w:r>
        <w:rPr>
          <w:spacing w:val="3"/>
          <w:sz w:val="30"/>
          <w:szCs w:val="30"/>
        </w:rPr>
        <w:t>管理要求与主修相同。</w:t>
      </w:r>
    </w:p>
    <w:p w14:paraId="1F8F7C95">
      <w:pPr>
        <w:pStyle w:val="3"/>
        <w:spacing w:before="199" w:line="314" w:lineRule="auto"/>
        <w:ind w:right="224" w:firstLine="64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第八条</w:t>
      </w:r>
      <w:r>
        <w:rPr>
          <w:rFonts w:ascii="黑体" w:hAnsi="黑体" w:eastAsia="黑体" w:cs="黑体"/>
          <w:spacing w:val="7"/>
          <w:sz w:val="30"/>
          <w:szCs w:val="30"/>
        </w:rPr>
        <w:t xml:space="preserve"> </w:t>
      </w:r>
      <w:r>
        <w:rPr>
          <w:spacing w:val="7"/>
          <w:sz w:val="30"/>
          <w:szCs w:val="30"/>
        </w:rPr>
        <w:t xml:space="preserve">开设学院负责辅修人才培养方案制定、课程教学 </w:t>
      </w:r>
      <w:r>
        <w:rPr>
          <w:spacing w:val="14"/>
          <w:sz w:val="30"/>
          <w:szCs w:val="30"/>
        </w:rPr>
        <w:t>安排、考试考核组织、成绩录入、证书授予资格审核、档案</w:t>
      </w:r>
      <w:r>
        <w:rPr>
          <w:spacing w:val="18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管理等。教务处负责人才培养方案审核、教学质量监控、成</w:t>
      </w:r>
      <w:r>
        <w:rPr>
          <w:sz w:val="30"/>
          <w:szCs w:val="30"/>
        </w:rPr>
        <w:t xml:space="preserve"> </w:t>
      </w:r>
      <w:r>
        <w:rPr>
          <w:spacing w:val="11"/>
          <w:sz w:val="30"/>
          <w:szCs w:val="30"/>
        </w:rPr>
        <w:t>绩管理、证书授予资格复核以及证书印制和</w:t>
      </w:r>
      <w:r>
        <w:rPr>
          <w:spacing w:val="10"/>
          <w:sz w:val="30"/>
          <w:szCs w:val="30"/>
        </w:rPr>
        <w:t>发放等。</w:t>
      </w:r>
    </w:p>
    <w:p w14:paraId="02174858">
      <w:pPr>
        <w:pStyle w:val="3"/>
        <w:spacing w:before="188" w:line="300" w:lineRule="auto"/>
        <w:ind w:right="235" w:firstLine="64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19"/>
          <w:sz w:val="30"/>
          <w:szCs w:val="30"/>
        </w:rPr>
        <w:t>第九条</w:t>
      </w:r>
      <w:r>
        <w:rPr>
          <w:rFonts w:ascii="黑体" w:hAnsi="黑体" w:eastAsia="黑体" w:cs="黑体"/>
          <w:spacing w:val="19"/>
          <w:sz w:val="30"/>
          <w:szCs w:val="30"/>
        </w:rPr>
        <w:t xml:space="preserve"> </w:t>
      </w:r>
      <w:r>
        <w:rPr>
          <w:spacing w:val="19"/>
          <w:sz w:val="30"/>
          <w:szCs w:val="30"/>
        </w:rPr>
        <w:t>非外语类辅修最低开班人数为25人；外语类辅</w:t>
      </w:r>
      <w:r>
        <w:rPr>
          <w:sz w:val="30"/>
          <w:szCs w:val="30"/>
        </w:rPr>
        <w:t xml:space="preserve"> </w:t>
      </w:r>
      <w:r>
        <w:rPr>
          <w:spacing w:val="25"/>
          <w:sz w:val="30"/>
          <w:szCs w:val="30"/>
        </w:rPr>
        <w:t>修最低开班人数为20人；未达到规定人数</w:t>
      </w:r>
      <w:r>
        <w:rPr>
          <w:spacing w:val="9"/>
          <w:sz w:val="30"/>
          <w:szCs w:val="30"/>
        </w:rPr>
        <w:t>的，经学校批准后可以开班。</w:t>
      </w:r>
    </w:p>
    <w:p w14:paraId="2786C5AA">
      <w:pPr>
        <w:pStyle w:val="3"/>
        <w:spacing w:before="209" w:line="284" w:lineRule="auto"/>
        <w:ind w:right="223" w:firstLine="64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第十条</w:t>
      </w:r>
      <w:r>
        <w:rPr>
          <w:rFonts w:ascii="黑体" w:hAnsi="黑体" w:eastAsia="黑体" w:cs="黑体"/>
          <w:spacing w:val="7"/>
          <w:sz w:val="30"/>
          <w:szCs w:val="30"/>
        </w:rPr>
        <w:t xml:space="preserve"> </w:t>
      </w:r>
      <w:r>
        <w:rPr>
          <w:spacing w:val="7"/>
          <w:sz w:val="30"/>
          <w:szCs w:val="30"/>
        </w:rPr>
        <w:t>获准辅修的学生，每学年开学第一周内凭缴费凭</w:t>
      </w:r>
      <w:r>
        <w:rPr>
          <w:spacing w:val="11"/>
          <w:sz w:val="30"/>
          <w:szCs w:val="30"/>
        </w:rPr>
        <w:t xml:space="preserve"> </w:t>
      </w:r>
      <w:r>
        <w:rPr>
          <w:spacing w:val="6"/>
          <w:sz w:val="30"/>
          <w:szCs w:val="30"/>
        </w:rPr>
        <w:t>证到开设学院注册。</w:t>
      </w:r>
    </w:p>
    <w:p w14:paraId="55D7AFDA">
      <w:pPr>
        <w:pStyle w:val="3"/>
        <w:spacing w:before="195" w:line="219" w:lineRule="auto"/>
        <w:ind w:left="64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第十一条</w:t>
      </w:r>
      <w:r>
        <w:rPr>
          <w:rFonts w:ascii="黑体" w:hAnsi="黑体" w:eastAsia="黑体" w:cs="黑体"/>
          <w:spacing w:val="7"/>
          <w:sz w:val="30"/>
          <w:szCs w:val="30"/>
        </w:rPr>
        <w:t xml:space="preserve"> </w:t>
      </w:r>
      <w:r>
        <w:rPr>
          <w:spacing w:val="7"/>
          <w:sz w:val="30"/>
          <w:szCs w:val="30"/>
        </w:rPr>
        <w:t>辅修实行单独编班教学，上课时间一般安排在</w:t>
      </w:r>
    </w:p>
    <w:p w14:paraId="1765381A">
      <w:pPr>
        <w:spacing w:line="219" w:lineRule="auto"/>
        <w:rPr>
          <w:sz w:val="30"/>
          <w:szCs w:val="30"/>
        </w:rPr>
        <w:sectPr>
          <w:footerReference r:id="rId6" w:type="default"/>
          <w:pgSz w:w="11900" w:h="16820"/>
          <w:pgMar w:top="1429" w:right="1785" w:bottom="1777" w:left="1700" w:header="0" w:footer="1388" w:gutter="0"/>
          <w:pgNumType w:fmt="decimal"/>
          <w:cols w:space="720" w:num="1"/>
        </w:sectPr>
      </w:pPr>
    </w:p>
    <w:p w14:paraId="242583CF">
      <w:pPr>
        <w:pStyle w:val="3"/>
        <w:spacing w:before="101" w:line="222" w:lineRule="auto"/>
        <w:ind w:left="124"/>
      </w:pPr>
      <w:r>
        <w:rPr>
          <w:spacing w:val="-2"/>
        </w:rPr>
        <w:t>星期一至星期</w:t>
      </w:r>
      <w:r>
        <w:rPr>
          <w:rFonts w:hint="eastAsia"/>
          <w:spacing w:val="-2"/>
          <w:lang w:val="en-US" w:eastAsia="zh-CN"/>
        </w:rPr>
        <w:t>五</w:t>
      </w:r>
      <w:r>
        <w:rPr>
          <w:spacing w:val="-2"/>
        </w:rPr>
        <w:t>的下午、晚上或周末。</w:t>
      </w:r>
    </w:p>
    <w:p w14:paraId="4C8BB64F">
      <w:pPr>
        <w:pStyle w:val="3"/>
        <w:spacing w:before="174" w:line="306" w:lineRule="auto"/>
        <w:ind w:left="124" w:firstLine="640"/>
      </w:pPr>
      <w:r>
        <w:rPr>
          <w:rFonts w:ascii="黑体" w:hAnsi="黑体" w:eastAsia="黑体" w:cs="黑体"/>
          <w:spacing w:val="10"/>
        </w:rPr>
        <w:t xml:space="preserve">第十二条 </w:t>
      </w:r>
      <w:r>
        <w:rPr>
          <w:spacing w:val="10"/>
        </w:rPr>
        <w:t>辅修课程期末考核一般安排在每学期第十六 周进行。课程考核不合格，可补考一次；补考不及格应重修。 补考安排在次学期第二周进行。补考或重修及格，课程成绩 以实际成绩记载，绩点记为1.0</w:t>
      </w:r>
      <w:r>
        <w:rPr>
          <w:spacing w:val="7"/>
        </w:rPr>
        <w:t>。</w:t>
      </w:r>
    </w:p>
    <w:p w14:paraId="7DF2F3E9">
      <w:pPr>
        <w:pStyle w:val="3"/>
        <w:spacing w:before="186" w:line="296" w:lineRule="auto"/>
        <w:ind w:left="124" w:firstLine="640"/>
        <w:rPr>
          <w:rFonts w:hint="default" w:eastAsia="仿宋"/>
          <w:lang w:val="en-US" w:eastAsia="zh-CN"/>
        </w:rPr>
      </w:pPr>
      <w:r>
        <w:rPr>
          <w:rFonts w:ascii="黑体" w:hAnsi="黑体" w:eastAsia="黑体" w:cs="黑体"/>
          <w:spacing w:val="-3"/>
        </w:rPr>
        <w:t xml:space="preserve">第十三条 </w:t>
      </w:r>
      <w:r>
        <w:rPr>
          <w:spacing w:val="-3"/>
        </w:rPr>
        <w:t>符合课程免听、免修条件的学生按照学校相关</w:t>
      </w:r>
      <w:r>
        <w:rPr>
          <w:spacing w:val="12"/>
        </w:rPr>
        <w:t xml:space="preserve"> </w:t>
      </w:r>
      <w:r>
        <w:rPr>
          <w:spacing w:val="4"/>
        </w:rPr>
        <w:t>管理规定办理免听、免修。获准课程免听的学生，须参加该</w:t>
      </w:r>
      <w:r>
        <w:rPr>
          <w:spacing w:val="7"/>
        </w:rPr>
        <w:t xml:space="preserve"> </w:t>
      </w:r>
      <w:r>
        <w:rPr>
          <w:spacing w:val="-3"/>
        </w:rPr>
        <w:t>课程的期末考核；获准课程免修的学生，取得该课</w:t>
      </w:r>
      <w:r>
        <w:rPr>
          <w:spacing w:val="-4"/>
        </w:rPr>
        <w:t>程的学分。</w:t>
      </w:r>
      <w:r>
        <w:rPr>
          <w:rFonts w:hint="eastAsia"/>
          <w:spacing w:val="-4"/>
          <w:lang w:val="en-US" w:eastAsia="zh-CN"/>
        </w:rPr>
        <w:t>辅修课程的学分认定可</w:t>
      </w:r>
      <w:r>
        <w:rPr>
          <w:rFonts w:hint="eastAsia"/>
          <w:color w:val="auto"/>
          <w:spacing w:val="-4"/>
          <w:lang w:val="en-US" w:eastAsia="zh-CN"/>
        </w:rPr>
        <w:t>通过</w:t>
      </w:r>
      <w:r>
        <w:rPr>
          <w:rFonts w:hint="eastAsia"/>
          <w:spacing w:val="-4"/>
          <w:lang w:val="en-US" w:eastAsia="zh-CN"/>
        </w:rPr>
        <w:t>免修的形式进行。</w:t>
      </w:r>
    </w:p>
    <w:p w14:paraId="4C6519DF">
      <w:pPr>
        <w:pStyle w:val="3"/>
        <w:spacing w:before="163" w:line="281" w:lineRule="auto"/>
        <w:ind w:left="124" w:right="109" w:firstLine="640"/>
      </w:pPr>
      <w:r>
        <w:rPr>
          <w:rFonts w:ascii="黑体" w:hAnsi="黑体" w:eastAsia="黑体" w:cs="黑体"/>
          <w:spacing w:val="-3"/>
        </w:rPr>
        <w:t xml:space="preserve">第十四条 </w:t>
      </w:r>
      <w:r>
        <w:rPr>
          <w:spacing w:val="-3"/>
        </w:rPr>
        <w:t>辅修须在主修专业学习年限内完成。辅修学生</w:t>
      </w:r>
      <w:r>
        <w:rPr>
          <w:spacing w:val="14"/>
        </w:rPr>
        <w:t xml:space="preserve"> </w:t>
      </w:r>
      <w:r>
        <w:rPr>
          <w:spacing w:val="-2"/>
        </w:rPr>
        <w:t>有下列情形之一的，应终止辅修：</w:t>
      </w:r>
    </w:p>
    <w:p w14:paraId="41869020">
      <w:pPr>
        <w:pStyle w:val="3"/>
        <w:spacing w:before="209" w:line="221" w:lineRule="auto"/>
        <w:ind w:left="914"/>
      </w:pPr>
      <w:r>
        <w:rPr>
          <w:spacing w:val="8"/>
        </w:rPr>
        <w:t>(一)逾期一周未办理辅修缴费和注册的；</w:t>
      </w:r>
    </w:p>
    <w:p w14:paraId="658A691C">
      <w:pPr>
        <w:pStyle w:val="3"/>
        <w:spacing w:before="182" w:line="222" w:lineRule="auto"/>
        <w:ind w:left="914"/>
      </w:pPr>
      <w:r>
        <w:rPr>
          <w:spacing w:val="10"/>
        </w:rPr>
        <w:t>(二)已办理退学的；</w:t>
      </w:r>
    </w:p>
    <w:p w14:paraId="70C5B8D1">
      <w:pPr>
        <w:pStyle w:val="3"/>
        <w:spacing w:before="184" w:line="221" w:lineRule="auto"/>
        <w:ind w:left="914"/>
      </w:pPr>
      <w:r>
        <w:rPr>
          <w:spacing w:val="10"/>
        </w:rPr>
        <w:t>(三)被开除学籍的。</w:t>
      </w:r>
    </w:p>
    <w:p w14:paraId="5E953F7E">
      <w:pPr>
        <w:pStyle w:val="3"/>
        <w:spacing w:before="167" w:line="358" w:lineRule="auto"/>
        <w:ind w:left="124" w:right="97" w:firstLine="640"/>
        <w:jc w:val="both"/>
        <w:rPr>
          <w:sz w:val="24"/>
          <w:szCs w:val="24"/>
        </w:rPr>
      </w:pPr>
      <w:r>
        <w:rPr>
          <w:rFonts w:ascii="黑体" w:hAnsi="黑体" w:eastAsia="黑体" w:cs="黑体"/>
          <w:spacing w:val="-2"/>
        </w:rPr>
        <w:t xml:space="preserve">第十五条 </w:t>
      </w:r>
      <w:r>
        <w:rPr>
          <w:spacing w:val="-2"/>
        </w:rPr>
        <w:t>因休学、参加学校组织的交流项目等原因申请</w:t>
      </w:r>
      <w:r>
        <w:rPr>
          <w:spacing w:val="1"/>
        </w:rPr>
        <w:t xml:space="preserve"> </w:t>
      </w:r>
      <w:r>
        <w:rPr>
          <w:spacing w:val="4"/>
        </w:rPr>
        <w:t xml:space="preserve">暂停辅修的学生，由开设学院在学生学习年限内保留其辅修 </w:t>
      </w:r>
      <w:r>
        <w:rPr>
          <w:spacing w:val="-15"/>
          <w:sz w:val="32"/>
          <w:szCs w:val="32"/>
        </w:rPr>
        <w:t>学籍</w:t>
      </w:r>
      <w:r>
        <w:rPr>
          <w:spacing w:val="-41"/>
          <w:sz w:val="32"/>
          <w:szCs w:val="32"/>
        </w:rPr>
        <w:t xml:space="preserve"> </w:t>
      </w:r>
      <w:r>
        <w:rPr>
          <w:spacing w:val="-15"/>
          <w:sz w:val="24"/>
          <w:szCs w:val="24"/>
        </w:rPr>
        <w:t>。</w:t>
      </w:r>
    </w:p>
    <w:p w14:paraId="2504CD10">
      <w:pPr>
        <w:pStyle w:val="3"/>
        <w:spacing w:before="7" w:line="338" w:lineRule="auto"/>
        <w:ind w:left="124" w:right="114" w:firstLine="640"/>
        <w:jc w:val="both"/>
      </w:pPr>
      <w:r>
        <w:rPr>
          <w:rFonts w:ascii="黑体" w:hAnsi="黑体" w:eastAsia="黑体" w:cs="黑体"/>
          <w:spacing w:val="10"/>
        </w:rPr>
        <w:t xml:space="preserve">第十六条 </w:t>
      </w:r>
      <w:r>
        <w:rPr>
          <w:spacing w:val="10"/>
        </w:rPr>
        <w:t>辅修课程成绩告知学生后由开设学院</w:t>
      </w:r>
      <w:r>
        <w:rPr>
          <w:spacing w:val="9"/>
        </w:rPr>
        <w:t>负责管</w:t>
      </w:r>
      <w:r>
        <w:t xml:space="preserve"> </w:t>
      </w:r>
      <w:r>
        <w:rPr>
          <w:spacing w:val="1"/>
        </w:rPr>
        <w:t>理。成绩单一式三份，其中一份由开设学院留存，一份交教</w:t>
      </w:r>
      <w:r>
        <w:t xml:space="preserve"> </w:t>
      </w:r>
      <w:r>
        <w:rPr>
          <w:spacing w:val="-3"/>
        </w:rPr>
        <w:t>务处备案，一份教师自存。</w:t>
      </w:r>
    </w:p>
    <w:p w14:paraId="1E9A359A">
      <w:pPr>
        <w:spacing w:before="263" w:line="222" w:lineRule="auto"/>
        <w:ind w:left="282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第四章</w:t>
      </w:r>
      <w:r>
        <w:rPr>
          <w:rFonts w:ascii="黑体" w:hAnsi="黑体" w:eastAsia="黑体" w:cs="黑体"/>
          <w:spacing w:val="-1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修读申请及招生</w:t>
      </w:r>
    </w:p>
    <w:p w14:paraId="6CBABEAE">
      <w:pPr>
        <w:spacing w:line="384" w:lineRule="auto"/>
        <w:rPr>
          <w:rFonts w:ascii="Arial"/>
          <w:sz w:val="21"/>
        </w:rPr>
      </w:pPr>
    </w:p>
    <w:p w14:paraId="6207569F">
      <w:pPr>
        <w:pStyle w:val="3"/>
        <w:spacing w:before="102" w:line="220" w:lineRule="auto"/>
        <w:ind w:left="769"/>
      </w:pPr>
      <w:r>
        <w:rPr>
          <w:rFonts w:ascii="黑体" w:hAnsi="黑体" w:eastAsia="黑体" w:cs="黑体"/>
          <w:b/>
          <w:bCs/>
          <w:spacing w:val="-3"/>
        </w:rPr>
        <w:t>第十七条</w:t>
      </w:r>
      <w:r>
        <w:rPr>
          <w:rFonts w:ascii="黑体" w:hAnsi="黑体" w:eastAsia="黑体" w:cs="黑体"/>
          <w:spacing w:val="-3"/>
        </w:rPr>
        <w:t xml:space="preserve"> </w:t>
      </w:r>
      <w:r>
        <w:rPr>
          <w:spacing w:val="-3"/>
        </w:rPr>
        <w:t>学生申请辅修的条件：</w:t>
      </w:r>
    </w:p>
    <w:p w14:paraId="0B946942">
      <w:pPr>
        <w:pStyle w:val="3"/>
        <w:spacing w:before="179" w:line="219" w:lineRule="auto"/>
        <w:ind w:left="0" w:firstLine="656" w:firstLineChars="200"/>
      </w:pPr>
      <w:r>
        <w:rPr>
          <w:spacing w:val="9"/>
        </w:rPr>
        <w:t>(一)具有学籍的本科一年级在校生；</w:t>
      </w:r>
    </w:p>
    <w:p w14:paraId="379B5D08">
      <w:pPr>
        <w:pStyle w:val="3"/>
        <w:spacing w:before="97" w:line="222" w:lineRule="auto"/>
        <w:ind w:left="619"/>
        <w:rPr>
          <w:sz w:val="30"/>
          <w:szCs w:val="30"/>
        </w:rPr>
      </w:pPr>
      <w:r>
        <w:rPr>
          <w:spacing w:val="12"/>
          <w:sz w:val="30"/>
          <w:szCs w:val="30"/>
        </w:rPr>
        <w:t>(二)主修专业的课程全部及格，平均学分绩点达到2.0。</w:t>
      </w:r>
    </w:p>
    <w:p w14:paraId="215D8808">
      <w:pPr>
        <w:pStyle w:val="3"/>
        <w:spacing w:before="205" w:line="283" w:lineRule="auto"/>
        <w:ind w:right="244" w:firstLine="619"/>
        <w:rPr>
          <w:sz w:val="30"/>
          <w:szCs w:val="30"/>
        </w:rPr>
      </w:pPr>
      <w:r>
        <w:rPr>
          <w:rFonts w:ascii="黑体" w:hAnsi="黑体" w:eastAsia="黑体" w:cs="黑体"/>
          <w:spacing w:val="8"/>
          <w:sz w:val="30"/>
          <w:szCs w:val="30"/>
        </w:rPr>
        <w:t xml:space="preserve">第十八条 </w:t>
      </w:r>
      <w:r>
        <w:rPr>
          <w:spacing w:val="8"/>
          <w:sz w:val="30"/>
          <w:szCs w:val="30"/>
        </w:rPr>
        <w:t>学生应在一年级第二学期申请辅修，在校期间</w:t>
      </w:r>
      <w:r>
        <w:rPr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只能申请修读一个辅修专业或一个辅修学士学位。</w:t>
      </w:r>
    </w:p>
    <w:p w14:paraId="2C48A27A">
      <w:pPr>
        <w:pStyle w:val="3"/>
        <w:spacing w:before="202" w:line="220" w:lineRule="auto"/>
        <w:ind w:left="619"/>
        <w:rPr>
          <w:sz w:val="30"/>
          <w:szCs w:val="30"/>
        </w:rPr>
      </w:pPr>
      <w:r>
        <w:rPr>
          <w:rFonts w:ascii="黑体" w:hAnsi="黑体" w:eastAsia="黑体" w:cs="黑体"/>
          <w:spacing w:val="11"/>
          <w:sz w:val="30"/>
          <w:szCs w:val="30"/>
        </w:rPr>
        <w:t xml:space="preserve">第十九条 </w:t>
      </w:r>
      <w:r>
        <w:rPr>
          <w:spacing w:val="11"/>
          <w:sz w:val="30"/>
          <w:szCs w:val="30"/>
        </w:rPr>
        <w:t>教务处每学年第二学期发布辅修</w:t>
      </w:r>
      <w:r>
        <w:rPr>
          <w:spacing w:val="10"/>
          <w:sz w:val="30"/>
          <w:szCs w:val="30"/>
        </w:rPr>
        <w:t>招生信息。</w:t>
      </w:r>
    </w:p>
    <w:p w14:paraId="251AFF71">
      <w:pPr>
        <w:pStyle w:val="3"/>
        <w:spacing w:before="190" w:line="305" w:lineRule="auto"/>
        <w:ind w:right="251" w:firstLine="619"/>
        <w:rPr>
          <w:sz w:val="30"/>
          <w:szCs w:val="30"/>
        </w:rPr>
      </w:pPr>
      <w:r>
        <w:rPr>
          <w:rFonts w:ascii="黑体" w:hAnsi="黑体" w:eastAsia="黑体" w:cs="黑体"/>
          <w:spacing w:val="7"/>
          <w:sz w:val="30"/>
          <w:szCs w:val="30"/>
        </w:rPr>
        <w:t xml:space="preserve">第二十条 </w:t>
      </w:r>
      <w:r>
        <w:rPr>
          <w:spacing w:val="7"/>
          <w:sz w:val="30"/>
          <w:szCs w:val="30"/>
        </w:rPr>
        <w:t>开设学院对学生申请辅修的条件进行审核，教</w:t>
      </w:r>
      <w:r>
        <w:rPr>
          <w:spacing w:val="13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务处复核。开设学院公布辅修学生录取名单，并通知学</w:t>
      </w:r>
      <w:r>
        <w:rPr>
          <w:spacing w:val="13"/>
          <w:sz w:val="30"/>
          <w:szCs w:val="30"/>
        </w:rPr>
        <w:t>生按</w:t>
      </w:r>
      <w:r>
        <w:rPr>
          <w:sz w:val="30"/>
          <w:szCs w:val="30"/>
        </w:rPr>
        <w:t xml:space="preserve"> </w:t>
      </w:r>
      <w:r>
        <w:rPr>
          <w:spacing w:val="5"/>
          <w:sz w:val="30"/>
          <w:szCs w:val="30"/>
        </w:rPr>
        <w:t>有关规定办理缴费手续。</w:t>
      </w:r>
    </w:p>
    <w:p w14:paraId="04DF8D4F">
      <w:pPr>
        <w:spacing w:line="375" w:lineRule="auto"/>
        <w:rPr>
          <w:rFonts w:ascii="Arial"/>
          <w:sz w:val="21"/>
        </w:rPr>
      </w:pPr>
    </w:p>
    <w:p w14:paraId="3D81B9B9">
      <w:pPr>
        <w:spacing w:before="97" w:line="222" w:lineRule="auto"/>
        <w:ind w:left="3164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第五章</w:t>
      </w:r>
      <w:r>
        <w:rPr>
          <w:rFonts w:ascii="黑体" w:hAnsi="黑体" w:eastAsia="黑体" w:cs="黑体"/>
          <w:spacing w:val="7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收费管理</w:t>
      </w:r>
    </w:p>
    <w:p w14:paraId="5F9ADD1F">
      <w:pPr>
        <w:spacing w:line="390" w:lineRule="auto"/>
        <w:rPr>
          <w:rFonts w:ascii="Arial"/>
          <w:sz w:val="21"/>
        </w:rPr>
      </w:pPr>
    </w:p>
    <w:p w14:paraId="4A1730D0">
      <w:pPr>
        <w:pStyle w:val="3"/>
        <w:spacing w:before="98" w:line="303" w:lineRule="auto"/>
        <w:ind w:right="241" w:firstLine="62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第二十一条</w:t>
      </w:r>
      <w:r>
        <w:rPr>
          <w:rFonts w:ascii="黑体" w:hAnsi="黑体" w:eastAsia="黑体" w:cs="黑体"/>
          <w:spacing w:val="7"/>
          <w:sz w:val="30"/>
          <w:szCs w:val="30"/>
        </w:rPr>
        <w:t xml:space="preserve">  </w:t>
      </w:r>
      <w:r>
        <w:rPr>
          <w:spacing w:val="7"/>
          <w:sz w:val="30"/>
          <w:szCs w:val="30"/>
        </w:rPr>
        <w:t>辅修实行学分制收费，学费标准=辅修所需</w:t>
      </w:r>
      <w:r>
        <w:rPr>
          <w:sz w:val="30"/>
          <w:szCs w:val="30"/>
        </w:rPr>
        <w:t xml:space="preserve"> </w:t>
      </w:r>
      <w:r>
        <w:rPr>
          <w:spacing w:val="19"/>
          <w:sz w:val="30"/>
          <w:szCs w:val="30"/>
        </w:rPr>
        <w:t>学分×该专业学年学费标准×4年÷该专业毕业应完成的学</w:t>
      </w:r>
      <w:r>
        <w:rPr>
          <w:spacing w:val="1"/>
          <w:sz w:val="30"/>
          <w:szCs w:val="30"/>
        </w:rPr>
        <w:t xml:space="preserve"> </w:t>
      </w:r>
      <w:r>
        <w:rPr>
          <w:spacing w:val="11"/>
          <w:sz w:val="30"/>
          <w:szCs w:val="30"/>
        </w:rPr>
        <w:t>分总数。开设学院可以向学校申请免除学生辅修部分学费。</w:t>
      </w:r>
    </w:p>
    <w:p w14:paraId="5AF2DDD5">
      <w:pPr>
        <w:pStyle w:val="3"/>
        <w:spacing w:before="199" w:line="321" w:lineRule="auto"/>
        <w:ind w:right="257" w:firstLine="62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17"/>
          <w:sz w:val="30"/>
          <w:szCs w:val="30"/>
        </w:rPr>
        <w:t>第二十二条</w:t>
      </w:r>
      <w:r>
        <w:rPr>
          <w:rFonts w:ascii="黑体" w:hAnsi="黑体" w:eastAsia="黑体" w:cs="黑体"/>
          <w:spacing w:val="17"/>
          <w:sz w:val="30"/>
          <w:szCs w:val="30"/>
        </w:rPr>
        <w:t xml:space="preserve"> </w:t>
      </w:r>
      <w:r>
        <w:rPr>
          <w:spacing w:val="17"/>
          <w:sz w:val="30"/>
          <w:szCs w:val="30"/>
        </w:rPr>
        <w:t>辅修学费的80%由学校统筹</w:t>
      </w:r>
      <w:r>
        <w:rPr>
          <w:spacing w:val="16"/>
          <w:sz w:val="30"/>
          <w:szCs w:val="30"/>
        </w:rPr>
        <w:t>管理，14%划拨</w:t>
      </w:r>
      <w:r>
        <w:rPr>
          <w:sz w:val="30"/>
          <w:szCs w:val="30"/>
        </w:rPr>
        <w:t xml:space="preserve"> </w:t>
      </w:r>
      <w:r>
        <w:rPr>
          <w:spacing w:val="12"/>
          <w:sz w:val="30"/>
          <w:szCs w:val="30"/>
        </w:rPr>
        <w:t>开设学院、3%划拨学生所在学院、3%划拨教务处。学校统筹</w:t>
      </w:r>
      <w:r>
        <w:rPr>
          <w:spacing w:val="14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管理的学费主要用于支付教师课酬及相关管理费用。学校划</w:t>
      </w:r>
      <w:r>
        <w:rPr>
          <w:spacing w:val="18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拨开设学院、学生所在学院和教务处的学费主要用于辅修的</w:t>
      </w:r>
      <w:r>
        <w:rPr>
          <w:spacing w:val="10"/>
          <w:sz w:val="30"/>
          <w:szCs w:val="30"/>
        </w:rPr>
        <w:t xml:space="preserve"> </w:t>
      </w:r>
      <w:r>
        <w:rPr>
          <w:spacing w:val="1"/>
          <w:sz w:val="30"/>
          <w:szCs w:val="30"/>
        </w:rPr>
        <w:t>日常教学管理。</w:t>
      </w:r>
    </w:p>
    <w:p w14:paraId="65852C52">
      <w:pPr>
        <w:pStyle w:val="3"/>
        <w:spacing w:before="195" w:line="300" w:lineRule="auto"/>
        <w:ind w:right="267" w:firstLine="62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19"/>
          <w:sz w:val="30"/>
          <w:szCs w:val="30"/>
        </w:rPr>
        <w:t>第二十三条</w:t>
      </w:r>
      <w:r>
        <w:rPr>
          <w:rFonts w:ascii="黑体" w:hAnsi="黑体" w:eastAsia="黑体" w:cs="黑体"/>
          <w:spacing w:val="19"/>
          <w:sz w:val="30"/>
          <w:szCs w:val="30"/>
        </w:rPr>
        <w:t xml:space="preserve"> </w:t>
      </w:r>
      <w:r>
        <w:rPr>
          <w:spacing w:val="19"/>
          <w:sz w:val="30"/>
          <w:szCs w:val="30"/>
        </w:rPr>
        <w:t>参加辅修的学生，原则上不得中途退出学</w:t>
      </w:r>
      <w:r>
        <w:rPr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习。因特殊原因退出学习的，经学校审批同意后按照未修读</w:t>
      </w:r>
      <w:r>
        <w:rPr>
          <w:spacing w:val="7"/>
          <w:sz w:val="30"/>
          <w:szCs w:val="30"/>
        </w:rPr>
        <w:t xml:space="preserve"> </w:t>
      </w:r>
      <w:r>
        <w:rPr>
          <w:spacing w:val="3"/>
          <w:sz w:val="30"/>
          <w:szCs w:val="30"/>
        </w:rPr>
        <w:t>课程学时同比例退费。</w:t>
      </w:r>
    </w:p>
    <w:p w14:paraId="09E0FB65">
      <w:pPr>
        <w:spacing w:before="98" w:line="221" w:lineRule="auto"/>
        <w:ind w:left="3144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6"/>
          <w:sz w:val="30"/>
          <w:szCs w:val="30"/>
        </w:rPr>
        <w:t>第六章</w:t>
      </w:r>
      <w:r>
        <w:rPr>
          <w:rFonts w:ascii="黑体" w:hAnsi="黑体" w:eastAsia="黑体" w:cs="黑体"/>
          <w:spacing w:val="3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6"/>
          <w:sz w:val="30"/>
          <w:szCs w:val="30"/>
        </w:rPr>
        <w:t>证书颁发</w:t>
      </w:r>
    </w:p>
    <w:p w14:paraId="76597A6E">
      <w:pPr>
        <w:spacing w:line="392" w:lineRule="auto"/>
        <w:rPr>
          <w:rFonts w:ascii="Arial"/>
          <w:sz w:val="21"/>
        </w:rPr>
      </w:pPr>
    </w:p>
    <w:p w14:paraId="67CCC3AA">
      <w:pPr>
        <w:pStyle w:val="3"/>
        <w:spacing w:before="98" w:line="220" w:lineRule="auto"/>
        <w:ind w:left="62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10"/>
          <w:sz w:val="30"/>
          <w:szCs w:val="30"/>
        </w:rPr>
        <w:t>第二十四条</w:t>
      </w:r>
      <w:r>
        <w:rPr>
          <w:rFonts w:ascii="黑体" w:hAnsi="黑体" w:eastAsia="黑体" w:cs="黑体"/>
          <w:spacing w:val="10"/>
          <w:sz w:val="30"/>
          <w:szCs w:val="30"/>
        </w:rPr>
        <w:t xml:space="preserve"> </w:t>
      </w:r>
      <w:r>
        <w:rPr>
          <w:spacing w:val="10"/>
          <w:sz w:val="30"/>
          <w:szCs w:val="30"/>
        </w:rPr>
        <w:t>达到下列条件者，可以申请辅修学士学位：</w:t>
      </w:r>
    </w:p>
    <w:p w14:paraId="67FC7F38">
      <w:pPr>
        <w:pStyle w:val="3"/>
        <w:spacing w:before="98" w:line="222" w:lineRule="auto"/>
        <w:ind w:left="934"/>
        <w:rPr>
          <w:sz w:val="30"/>
          <w:szCs w:val="30"/>
        </w:rPr>
      </w:pPr>
      <w:r>
        <w:rPr>
          <w:spacing w:val="16"/>
          <w:sz w:val="30"/>
          <w:szCs w:val="30"/>
        </w:rPr>
        <w:t>(一)主修专业达到授予学士学位的条件；</w:t>
      </w:r>
    </w:p>
    <w:p w14:paraId="0972E4A1">
      <w:pPr>
        <w:pStyle w:val="3"/>
        <w:spacing w:before="199" w:line="302" w:lineRule="auto"/>
        <w:ind w:left="165" w:right="249" w:firstLine="769"/>
        <w:rPr>
          <w:sz w:val="30"/>
          <w:szCs w:val="30"/>
        </w:rPr>
      </w:pPr>
      <w:r>
        <w:rPr>
          <w:spacing w:val="20"/>
          <w:sz w:val="30"/>
          <w:szCs w:val="30"/>
        </w:rPr>
        <w:t>(二)完成辅修学士学位人才培养方案中全部课程的修</w:t>
      </w:r>
      <w:r>
        <w:rPr>
          <w:spacing w:val="7"/>
          <w:sz w:val="30"/>
          <w:szCs w:val="30"/>
        </w:rPr>
        <w:t>读，取得规定的学分，毕业论文合格，平均学分绩点达到2.</w:t>
      </w:r>
      <w:r>
        <w:rPr>
          <w:rFonts w:hint="eastAsia"/>
          <w:spacing w:val="7"/>
          <w:sz w:val="30"/>
          <w:szCs w:val="30"/>
          <w:lang w:val="en-US" w:eastAsia="zh-CN"/>
        </w:rPr>
        <w:t>0及以上</w:t>
      </w:r>
      <w:r>
        <w:rPr>
          <w:spacing w:val="-4"/>
          <w:sz w:val="30"/>
          <w:szCs w:val="30"/>
        </w:rPr>
        <w:t>。</w:t>
      </w:r>
    </w:p>
    <w:p w14:paraId="73F11701">
      <w:pPr>
        <w:pStyle w:val="3"/>
        <w:spacing w:before="196" w:line="303" w:lineRule="auto"/>
        <w:ind w:left="165" w:right="149" w:firstLine="619"/>
        <w:rPr>
          <w:sz w:val="30"/>
          <w:szCs w:val="30"/>
        </w:rPr>
      </w:pPr>
      <w:r>
        <w:rPr>
          <w:rFonts w:ascii="黑体" w:hAnsi="黑体" w:eastAsia="黑体" w:cs="黑体"/>
          <w:spacing w:val="3"/>
          <w:sz w:val="30"/>
          <w:szCs w:val="30"/>
        </w:rPr>
        <w:t xml:space="preserve">第二十五条 </w:t>
      </w:r>
      <w:r>
        <w:rPr>
          <w:spacing w:val="3"/>
          <w:sz w:val="30"/>
          <w:szCs w:val="30"/>
        </w:rPr>
        <w:t>学生在申请主修学士学位时，一并申请辅修</w:t>
      </w:r>
      <w:r>
        <w:rPr>
          <w:spacing w:val="6"/>
          <w:sz w:val="30"/>
          <w:szCs w:val="30"/>
        </w:rPr>
        <w:t>学士学位。学生获得主修学士学位而未获得辅修学士</w:t>
      </w:r>
      <w:r>
        <w:rPr>
          <w:spacing w:val="5"/>
          <w:sz w:val="30"/>
          <w:szCs w:val="30"/>
        </w:rPr>
        <w:t>学位的</w:t>
      </w:r>
      <w:r>
        <w:rPr>
          <w:rFonts w:hint="eastAsia"/>
          <w:spacing w:val="5"/>
          <w:sz w:val="30"/>
          <w:szCs w:val="30"/>
          <w:lang w:eastAsia="zh-CN"/>
        </w:rPr>
        <w:t>，</w:t>
      </w:r>
      <w:r>
        <w:rPr>
          <w:spacing w:val="6"/>
          <w:sz w:val="30"/>
          <w:szCs w:val="30"/>
        </w:rPr>
        <w:t>不得申请补授辅修学士学位。</w:t>
      </w:r>
    </w:p>
    <w:p w14:paraId="3985A573">
      <w:pPr>
        <w:pStyle w:val="3"/>
        <w:spacing w:before="201" w:line="314" w:lineRule="auto"/>
        <w:ind w:left="165" w:right="203" w:firstLine="619"/>
        <w:rPr>
          <w:sz w:val="30"/>
          <w:szCs w:val="30"/>
        </w:rPr>
      </w:pPr>
      <w:r>
        <w:rPr>
          <w:rFonts w:ascii="黑体" w:hAnsi="黑体" w:eastAsia="黑体" w:cs="黑体"/>
          <w:spacing w:val="16"/>
          <w:sz w:val="30"/>
          <w:szCs w:val="30"/>
        </w:rPr>
        <w:t>第二十六条</w:t>
      </w:r>
      <w:r>
        <w:rPr>
          <w:rFonts w:ascii="黑体" w:hAnsi="黑体" w:eastAsia="黑体" w:cs="黑体"/>
          <w:sz w:val="30"/>
          <w:szCs w:val="30"/>
        </w:rPr>
        <w:t xml:space="preserve">  </w:t>
      </w:r>
      <w:r>
        <w:rPr>
          <w:spacing w:val="16"/>
          <w:sz w:val="30"/>
          <w:szCs w:val="30"/>
        </w:rPr>
        <w:t>辅修学士学位授予程序、以不正当</w:t>
      </w:r>
      <w:r>
        <w:rPr>
          <w:spacing w:val="15"/>
          <w:sz w:val="30"/>
          <w:szCs w:val="30"/>
        </w:rPr>
        <w:t>手段获</w:t>
      </w:r>
      <w:r>
        <w:rPr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得辅修学士学位的处理、复议分别按《广东外语外贸大学南</w:t>
      </w:r>
      <w:r>
        <w:rPr>
          <w:spacing w:val="10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国商学院学士学位授予实施细则(试行)》(南</w:t>
      </w:r>
      <w:r>
        <w:rPr>
          <w:spacing w:val="12"/>
          <w:sz w:val="30"/>
          <w:szCs w:val="30"/>
        </w:rPr>
        <w:t>国[2022]49号)</w:t>
      </w:r>
      <w:r>
        <w:rPr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第十四条、第十五条和第五章规定执行。</w:t>
      </w:r>
    </w:p>
    <w:p w14:paraId="3C87DE89">
      <w:pPr>
        <w:pStyle w:val="3"/>
        <w:spacing w:before="200" w:line="283" w:lineRule="auto"/>
        <w:ind w:left="165" w:right="264" w:firstLine="619"/>
        <w:rPr>
          <w:sz w:val="30"/>
          <w:szCs w:val="30"/>
        </w:rPr>
      </w:pPr>
      <w:r>
        <w:rPr>
          <w:rFonts w:ascii="黑体" w:hAnsi="黑体" w:eastAsia="黑体" w:cs="黑体"/>
          <w:spacing w:val="19"/>
          <w:sz w:val="30"/>
          <w:szCs w:val="30"/>
        </w:rPr>
        <w:t xml:space="preserve">第二十七条 </w:t>
      </w:r>
      <w:r>
        <w:rPr>
          <w:spacing w:val="19"/>
          <w:sz w:val="30"/>
          <w:szCs w:val="30"/>
        </w:rPr>
        <w:t>辅修学士学位在主修学士学位证书中予以</w:t>
      </w:r>
      <w:r>
        <w:rPr>
          <w:spacing w:val="18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注明，不单独发放学位证书。</w:t>
      </w:r>
    </w:p>
    <w:p w14:paraId="1A187B30">
      <w:pPr>
        <w:pStyle w:val="3"/>
        <w:spacing w:before="189" w:line="286" w:lineRule="auto"/>
        <w:ind w:left="165" w:right="251" w:firstLine="619"/>
        <w:jc w:val="left"/>
        <w:rPr>
          <w:rFonts w:hint="eastAsia" w:ascii="黑体" w:hAnsi="黑体" w:eastAsia="黑体" w:cs="黑体"/>
          <w:spacing w:val="-6"/>
          <w:sz w:val="30"/>
          <w:szCs w:val="30"/>
          <w:lang w:val="en-US" w:eastAsia="zh-CN"/>
        </w:rPr>
      </w:pPr>
      <w:r>
        <w:rPr>
          <w:rFonts w:ascii="黑体" w:hAnsi="黑体" w:eastAsia="黑体" w:cs="黑体"/>
          <w:spacing w:val="7"/>
          <w:sz w:val="30"/>
          <w:szCs w:val="30"/>
        </w:rPr>
        <w:t xml:space="preserve">第二十八条 </w:t>
      </w:r>
      <w:r>
        <w:rPr>
          <w:spacing w:val="7"/>
          <w:sz w:val="30"/>
          <w:szCs w:val="30"/>
        </w:rPr>
        <w:t>获得辅修学士学位者，学校不另行颁发辅修</w:t>
      </w:r>
      <w:r>
        <w:rPr>
          <w:spacing w:val="12"/>
          <w:sz w:val="30"/>
          <w:szCs w:val="30"/>
        </w:rPr>
        <w:t xml:space="preserve"> </w:t>
      </w:r>
      <w:r>
        <w:rPr>
          <w:spacing w:val="-4"/>
          <w:sz w:val="30"/>
          <w:szCs w:val="30"/>
        </w:rPr>
        <w:t>专业证书。</w:t>
      </w:r>
    </w:p>
    <w:p w14:paraId="788B5D05">
      <w:pPr>
        <w:pStyle w:val="3"/>
        <w:spacing w:before="189" w:line="286" w:lineRule="auto"/>
        <w:ind w:left="165" w:right="251" w:firstLine="619"/>
        <w:jc w:val="left"/>
        <w:rPr>
          <w:spacing w:val="7"/>
          <w:sz w:val="30"/>
          <w:szCs w:val="30"/>
        </w:rPr>
      </w:pPr>
      <w:r>
        <w:rPr>
          <w:rFonts w:ascii="黑体" w:hAnsi="黑体" w:eastAsia="黑体" w:cs="黑体"/>
          <w:spacing w:val="7"/>
          <w:sz w:val="30"/>
          <w:szCs w:val="30"/>
        </w:rPr>
        <w:t xml:space="preserve">第二十九条 </w:t>
      </w:r>
      <w:r>
        <w:rPr>
          <w:spacing w:val="7"/>
          <w:sz w:val="30"/>
          <w:szCs w:val="30"/>
        </w:rPr>
        <w:t>达到下列条件之一者，可以获得辅修专业证书：</w:t>
      </w:r>
    </w:p>
    <w:p w14:paraId="0D9799C8">
      <w:pPr>
        <w:pStyle w:val="3"/>
        <w:spacing w:before="190" w:line="290" w:lineRule="auto"/>
        <w:ind w:left="165" w:right="244" w:firstLine="769"/>
        <w:rPr>
          <w:sz w:val="30"/>
          <w:szCs w:val="30"/>
        </w:rPr>
      </w:pPr>
      <w:r>
        <w:rPr>
          <w:spacing w:val="20"/>
          <w:sz w:val="30"/>
          <w:szCs w:val="30"/>
        </w:rPr>
        <w:t>(一)参加辅修学士学位的学生，未达到授予辅修学士</w:t>
      </w:r>
      <w:r>
        <w:rPr>
          <w:spacing w:val="14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学位的条件，但已获得的学分达到30分及以上；</w:t>
      </w:r>
    </w:p>
    <w:p w14:paraId="6D892599">
      <w:pPr>
        <w:pStyle w:val="3"/>
        <w:spacing w:before="180" w:line="283" w:lineRule="auto"/>
        <w:ind w:left="165" w:right="250" w:firstLine="769"/>
        <w:rPr>
          <w:rFonts w:ascii="黑体" w:hAnsi="黑体" w:eastAsia="黑体" w:cs="黑体"/>
          <w:spacing w:val="6"/>
          <w:sz w:val="30"/>
          <w:szCs w:val="30"/>
        </w:rPr>
      </w:pPr>
      <w:r>
        <w:rPr>
          <w:spacing w:val="20"/>
          <w:sz w:val="30"/>
          <w:szCs w:val="30"/>
        </w:rPr>
        <w:t>(二)参加辅修专业的学生，完成辅修专业人才培养方</w:t>
      </w:r>
      <w:r>
        <w:rPr>
          <w:spacing w:val="8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案中全部课程的修读，取得规定的学分。</w:t>
      </w:r>
    </w:p>
    <w:p w14:paraId="6C7617FB">
      <w:pPr>
        <w:pStyle w:val="3"/>
        <w:spacing w:before="190" w:line="290" w:lineRule="auto"/>
        <w:ind w:left="0" w:right="244" w:firstLine="576" w:firstLineChars="200"/>
        <w:rPr>
          <w:spacing w:val="16"/>
          <w:sz w:val="30"/>
          <w:szCs w:val="30"/>
        </w:rPr>
      </w:pPr>
      <w:r>
        <w:rPr>
          <w:rFonts w:ascii="黑体" w:hAnsi="黑体" w:eastAsia="黑体" w:cs="黑体"/>
          <w:spacing w:val="-6"/>
          <w:sz w:val="30"/>
          <w:szCs w:val="30"/>
        </w:rPr>
        <w:t>第三十条</w:t>
      </w:r>
      <w:r>
        <w:rPr>
          <w:rFonts w:ascii="仿宋" w:hAnsi="仿宋" w:eastAsia="仿宋" w:cs="仿宋"/>
          <w:spacing w:val="16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参加辅修的学生，未达到授予辅修学士学位的条件，也未达到获得辅修专业证书的条件，但获得学分达到1</w:t>
      </w:r>
      <w:r>
        <w:rPr>
          <w:rFonts w:hint="default"/>
          <w:spacing w:val="16"/>
          <w:sz w:val="30"/>
          <w:szCs w:val="30"/>
          <w:lang w:val="en-US" w:eastAsia="zh-CN"/>
        </w:rPr>
        <w:t>0</w:t>
      </w:r>
      <w:r>
        <w:rPr>
          <w:spacing w:val="16"/>
          <w:sz w:val="30"/>
          <w:szCs w:val="30"/>
        </w:rPr>
        <w:t>学分</w:t>
      </w:r>
      <w:r>
        <w:rPr>
          <w:rFonts w:hint="default"/>
          <w:spacing w:val="16"/>
          <w:sz w:val="30"/>
          <w:szCs w:val="30"/>
          <w:lang w:val="en-US" w:eastAsia="zh-CN"/>
        </w:rPr>
        <w:t>及以上</w:t>
      </w:r>
      <w:r>
        <w:rPr>
          <w:spacing w:val="16"/>
          <w:sz w:val="30"/>
          <w:szCs w:val="30"/>
        </w:rPr>
        <w:t>，</w:t>
      </w:r>
      <w:r>
        <w:rPr>
          <w:rFonts w:hint="default"/>
          <w:spacing w:val="16"/>
          <w:sz w:val="30"/>
          <w:szCs w:val="30"/>
          <w:lang w:val="en-US" w:eastAsia="zh-CN"/>
        </w:rPr>
        <w:t>或者达到与辅修相关的微专业学分，</w:t>
      </w:r>
      <w:r>
        <w:rPr>
          <w:spacing w:val="16"/>
          <w:sz w:val="30"/>
          <w:szCs w:val="30"/>
        </w:rPr>
        <w:t>经开设学院审核，满足《广东外语外贸大学南国商学院微专业建设与管理办法》规定的条件，学校为其颁发微专业证书。</w:t>
      </w:r>
      <w:r>
        <w:rPr>
          <w:rFonts w:hint="default"/>
          <w:spacing w:val="16"/>
          <w:sz w:val="30"/>
          <w:szCs w:val="30"/>
        </w:rPr>
        <w:t>未能</w:t>
      </w:r>
      <w:r>
        <w:rPr>
          <w:rFonts w:hint="default" w:eastAsia="仿宋"/>
          <w:spacing w:val="16"/>
          <w:sz w:val="30"/>
          <w:szCs w:val="30"/>
          <w:lang w:val="en-US" w:eastAsia="zh-CN"/>
        </w:rPr>
        <w:t>获得微专业证书的</w:t>
      </w:r>
      <w:r>
        <w:rPr>
          <w:rFonts w:hint="default"/>
          <w:spacing w:val="16"/>
          <w:sz w:val="30"/>
          <w:szCs w:val="30"/>
        </w:rPr>
        <w:t>本校学生，已修读的</w:t>
      </w:r>
      <w:r>
        <w:rPr>
          <w:rFonts w:hint="default" w:eastAsia="仿宋"/>
          <w:spacing w:val="16"/>
          <w:sz w:val="30"/>
          <w:szCs w:val="30"/>
          <w:lang w:val="en-US" w:eastAsia="zh-CN"/>
        </w:rPr>
        <w:t>辅修</w:t>
      </w:r>
      <w:r>
        <w:rPr>
          <w:rFonts w:hint="default"/>
          <w:spacing w:val="16"/>
          <w:sz w:val="30"/>
          <w:szCs w:val="30"/>
        </w:rPr>
        <w:t>课程学分可替代与</w:t>
      </w:r>
      <w:r>
        <w:rPr>
          <w:rFonts w:hint="default" w:eastAsia="仿宋"/>
          <w:spacing w:val="16"/>
          <w:sz w:val="30"/>
          <w:szCs w:val="30"/>
          <w:lang w:val="en-US" w:eastAsia="zh-CN"/>
        </w:rPr>
        <w:t>辅修</w:t>
      </w:r>
      <w:r>
        <w:rPr>
          <w:rFonts w:hint="default"/>
          <w:spacing w:val="16"/>
          <w:sz w:val="30"/>
          <w:szCs w:val="30"/>
        </w:rPr>
        <w:t>课程相同或高度相近的通识选修课学分。</w:t>
      </w:r>
    </w:p>
    <w:p w14:paraId="5F73498D">
      <w:pPr>
        <w:pStyle w:val="2"/>
        <w:rPr>
          <w:spacing w:val="1"/>
          <w:sz w:val="30"/>
          <w:szCs w:val="30"/>
        </w:rPr>
      </w:pPr>
    </w:p>
    <w:p w14:paraId="65027FD7">
      <w:pPr>
        <w:spacing w:before="255" w:line="222" w:lineRule="auto"/>
        <w:ind w:left="3304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7"/>
          <w:sz w:val="30"/>
          <w:szCs w:val="30"/>
        </w:rPr>
        <w:t>第七章</w:t>
      </w:r>
      <w:r>
        <w:rPr>
          <w:rFonts w:ascii="黑体" w:hAnsi="黑体" w:eastAsia="黑体" w:cs="黑体"/>
          <w:spacing w:val="20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-7"/>
          <w:sz w:val="30"/>
          <w:szCs w:val="30"/>
        </w:rPr>
        <w:t>附</w:t>
      </w:r>
      <w:r>
        <w:rPr>
          <w:rFonts w:ascii="黑体" w:hAnsi="黑体" w:eastAsia="黑体" w:cs="黑体"/>
          <w:spacing w:val="24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-7"/>
          <w:sz w:val="30"/>
          <w:szCs w:val="30"/>
        </w:rPr>
        <w:t>则</w:t>
      </w:r>
    </w:p>
    <w:p w14:paraId="1166DA9E">
      <w:pPr>
        <w:spacing w:line="389" w:lineRule="auto"/>
        <w:rPr>
          <w:rFonts w:ascii="Arial"/>
          <w:sz w:val="21"/>
        </w:rPr>
      </w:pPr>
    </w:p>
    <w:p w14:paraId="5C7EEBC0">
      <w:pPr>
        <w:pStyle w:val="3"/>
        <w:spacing w:before="98" w:line="221" w:lineRule="auto"/>
        <w:ind w:left="63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15"/>
          <w:sz w:val="30"/>
          <w:szCs w:val="30"/>
        </w:rPr>
        <w:t>第三十一条</w:t>
      </w:r>
      <w:r>
        <w:rPr>
          <w:rFonts w:ascii="黑体" w:hAnsi="黑体" w:eastAsia="黑体" w:cs="黑体"/>
          <w:spacing w:val="15"/>
          <w:sz w:val="30"/>
          <w:szCs w:val="30"/>
        </w:rPr>
        <w:t xml:space="preserve"> </w:t>
      </w:r>
      <w:r>
        <w:rPr>
          <w:spacing w:val="15"/>
          <w:sz w:val="30"/>
          <w:szCs w:val="30"/>
        </w:rPr>
        <w:t>本办法自202</w:t>
      </w:r>
      <w:r>
        <w:rPr>
          <w:rFonts w:hint="eastAsia"/>
          <w:spacing w:val="15"/>
          <w:sz w:val="30"/>
          <w:szCs w:val="30"/>
          <w:lang w:val="en-US" w:eastAsia="zh-CN"/>
        </w:rPr>
        <w:t>5</w:t>
      </w:r>
      <w:r>
        <w:rPr>
          <w:spacing w:val="15"/>
          <w:sz w:val="30"/>
          <w:szCs w:val="30"/>
        </w:rPr>
        <w:t>级本科生起施行。</w:t>
      </w:r>
    </w:p>
    <w:p w14:paraId="4A4D1FD7">
      <w:pPr>
        <w:pStyle w:val="3"/>
        <w:spacing w:before="191" w:line="222" w:lineRule="auto"/>
        <w:ind w:left="624"/>
        <w:rPr>
          <w:sz w:val="30"/>
          <w:szCs w:val="30"/>
        </w:rPr>
      </w:pPr>
      <w:r>
        <w:rPr>
          <w:rFonts w:ascii="黑体" w:hAnsi="黑体" w:eastAsia="黑体" w:cs="黑体"/>
          <w:b/>
          <w:bCs/>
          <w:spacing w:val="8"/>
          <w:sz w:val="30"/>
          <w:szCs w:val="30"/>
        </w:rPr>
        <w:t>第三十二条</w:t>
      </w:r>
      <w:r>
        <w:rPr>
          <w:rFonts w:ascii="黑体" w:hAnsi="黑体" w:eastAsia="黑体" w:cs="黑体"/>
          <w:spacing w:val="8"/>
          <w:sz w:val="30"/>
          <w:szCs w:val="30"/>
        </w:rPr>
        <w:t xml:space="preserve"> </w:t>
      </w:r>
      <w:r>
        <w:rPr>
          <w:spacing w:val="8"/>
          <w:sz w:val="30"/>
          <w:szCs w:val="30"/>
        </w:rPr>
        <w:t>本办法由教务处负责解释。</w:t>
      </w:r>
    </w:p>
    <w:p w14:paraId="18F48B75">
      <w:pPr>
        <w:spacing w:before="2"/>
      </w:pPr>
    </w:p>
    <w:p w14:paraId="2A15D899">
      <w:pPr>
        <w:spacing w:before="2"/>
      </w:pPr>
    </w:p>
    <w:p w14:paraId="5ACEF799">
      <w:pPr>
        <w:spacing w:before="2"/>
      </w:pPr>
    </w:p>
    <w:p w14:paraId="6B06C803">
      <w:pPr>
        <w:spacing w:line="117" w:lineRule="exact"/>
        <w:rPr>
          <w:rFonts w:ascii="Arial"/>
          <w:sz w:val="10"/>
        </w:rPr>
      </w:pPr>
    </w:p>
    <w:sectPr>
      <w:footerReference r:id="rId7" w:type="default"/>
      <w:pgSz w:w="11900" w:h="16820"/>
      <w:pgMar w:top="1429" w:right="1559" w:bottom="1777" w:left="1785" w:header="0" w:footer="1388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B4210">
    <w:pPr>
      <w:spacing w:line="235" w:lineRule="auto"/>
      <w:ind w:left="7174"/>
      <w:rPr>
        <w:rFonts w:ascii="宋体" w:hAnsi="宋体" w:eastAsia="宋体" w:cs="宋体"/>
        <w:sz w:val="31"/>
        <w:szCs w:val="31"/>
      </w:rPr>
    </w:pPr>
    <w:r>
      <w:rPr>
        <w:sz w:val="3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3D12F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3D12F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BFE4B">
    <w:pPr>
      <w:spacing w:line="233" w:lineRule="auto"/>
      <w:ind w:left="7049"/>
      <w:rPr>
        <w:rFonts w:ascii="宋体" w:hAnsi="宋体" w:eastAsia="宋体" w:cs="宋体"/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F20C3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F20C3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6E3E76">
    <w:pPr>
      <w:spacing w:line="233" w:lineRule="auto"/>
      <w:ind w:left="134"/>
      <w:rPr>
        <w:rFonts w:ascii="宋体" w:hAnsi="宋体" w:eastAsia="宋体" w:cs="宋体"/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4D657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4D657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trackRevisions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225864"/>
    <w:rsid w:val="0D31575F"/>
    <w:rsid w:val="10E93984"/>
    <w:rsid w:val="131B3747"/>
    <w:rsid w:val="14CD4F3B"/>
    <w:rsid w:val="18CA6629"/>
    <w:rsid w:val="195F3242"/>
    <w:rsid w:val="1F5215BF"/>
    <w:rsid w:val="208E3A4F"/>
    <w:rsid w:val="2ACB098F"/>
    <w:rsid w:val="326B2B8D"/>
    <w:rsid w:val="4ACC4EEB"/>
    <w:rsid w:val="4F00551B"/>
    <w:rsid w:val="572836F9"/>
    <w:rsid w:val="588162E6"/>
    <w:rsid w:val="6ED615A1"/>
    <w:rsid w:val="74C63F89"/>
    <w:rsid w:val="79383037"/>
    <w:rsid w:val="7CB16D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2321</Words>
  <Characters>2356</Characters>
  <TotalTime>4</TotalTime>
  <ScaleCrop>false</ScaleCrop>
  <LinksUpToDate>false</LinksUpToDate>
  <CharactersWithSpaces>2463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2025-04-24T08:06:00Z</dcterms:created>
  <dc:creator>002</dc:creator>
  <cp:lastModifiedBy>@</cp:lastModifiedBy>
  <dcterms:modified xsi:type="dcterms:W3CDTF">2025-04-28T07:22:58Z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2025-04-24T08:06:36Z</vt:filetime>
  </property>
  <property fmtid="{D5CDD505-2E9C-101B-9397-08002B2CF9AE}" pid="4" name="UsrData">
    <vt:lpwstr>6809808947bdb1001f666735wl</vt:lpwstr>
  </property>
  <property fmtid="{D5CDD505-2E9C-101B-9397-08002B2CF9AE}" pid="5" name="KSOTemplateDocerSaveRecord">
    <vt:lpwstr>eyJoZGlkIjoiMjRiOTZjYmRkOTJlOThiOTk5NGEwN2E2Zjg3MGU4YzEiLCJ1c2VySWQiOiI1NjI3MTY2NjEifQ==</vt:lpwstr>
  </property>
  <property fmtid="{D5CDD505-2E9C-101B-9397-08002B2CF9AE}" pid="6" name="KSOProductBuildVer">
    <vt:lpwstr>2052-12.1.0.20784</vt:lpwstr>
  </property>
  <property fmtid="{D5CDD505-2E9C-101B-9397-08002B2CF9AE}" pid="7" name="ICV">
    <vt:lpwstr>7F5FFD199DD447B8BF3F0A6279907A8A_13</vt:lpwstr>
  </property>
</Properties>
</file>